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BE0">
      <w:pPr>
        <w:pStyle w:val="a3"/>
      </w:pPr>
      <w:r>
        <w:t> </w:t>
      </w:r>
    </w:p>
    <w:p w:rsidR="00000000" w:rsidRDefault="00A84BE0">
      <w:pPr>
        <w:pStyle w:val="a3"/>
        <w:jc w:val="right"/>
      </w:pPr>
      <w:r>
        <w:t>Приложение № 1</w:t>
      </w:r>
    </w:p>
    <w:p w:rsidR="00000000" w:rsidRDefault="00A84BE0">
      <w:pPr>
        <w:pStyle w:val="a3"/>
        <w:jc w:val="right"/>
      </w:pPr>
      <w:r>
        <w:t>Утверждена</w:t>
      </w:r>
    </w:p>
    <w:p w:rsidR="00000000" w:rsidRDefault="00A84BE0">
      <w:pPr>
        <w:pStyle w:val="a3"/>
        <w:jc w:val="right"/>
      </w:pPr>
      <w:r>
        <w:t>постановлением Правительства</w:t>
      </w:r>
    </w:p>
    <w:p w:rsidR="00000000" w:rsidRDefault="00A84BE0">
      <w:pPr>
        <w:pStyle w:val="a3"/>
        <w:jc w:val="right"/>
      </w:pPr>
      <w:r>
        <w:t> Республики Таджикистан</w:t>
      </w:r>
    </w:p>
    <w:p w:rsidR="00000000" w:rsidRDefault="00A84BE0">
      <w:pPr>
        <w:pStyle w:val="a3"/>
        <w:jc w:val="right"/>
      </w:pPr>
      <w:hyperlink r:id="rId5" w:tgtFrame="_blank" w:history="1">
        <w:r>
          <w:rPr>
            <w:rStyle w:val="a4"/>
          </w:rPr>
          <w:t>от 30 апреля 2012 года, №201</w:t>
        </w:r>
      </w:hyperlink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a3"/>
        <w:jc w:val="center"/>
      </w:pPr>
      <w:r>
        <w:rPr>
          <w:rStyle w:val="a6"/>
        </w:rPr>
        <w:t>ПРОГРАММА ГОСУДАРСТВЕННОЙ ПОДДЕРЖКИ ПРЕДПРИНИМАТЕЛЬСТВА В РЕСПУБЛИКЕ ТАДЖИКИСТАН</w:t>
      </w:r>
    </w:p>
    <w:p w:rsidR="00000000" w:rsidRDefault="00A84BE0">
      <w:pPr>
        <w:pStyle w:val="a3"/>
        <w:jc w:val="center"/>
      </w:pPr>
      <w:r>
        <w:rPr>
          <w:rStyle w:val="a6"/>
        </w:rPr>
        <w:t>НА 2012-2020 ГОДЫ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a3"/>
      </w:pPr>
      <w:r>
        <w:t>Программа государственной поддержки предпринимательства в Республике Таджикистан на 2012-2020 годы (далее - Программа)это программа долгосрочных мер, котор</w:t>
      </w:r>
      <w:r>
        <w:t>ые будут приняты и реализованы Правительством Республики Таджикистан, с целью создания благоприятных условий для налаживания деятельности субъектов предпринимательства, как основного фактора решения социально-экономических задач страны путем обеспечения за</w:t>
      </w:r>
      <w:r>
        <w:t>нятости и повышения реального уровня благосостояния населения Республики Таджикистан.</w:t>
      </w:r>
    </w:p>
    <w:p w:rsidR="00000000" w:rsidRDefault="00A84BE0">
      <w:pPr>
        <w:pStyle w:val="a3"/>
      </w:pPr>
      <w:r>
        <w:t>Программа направлена на продолжение работы по проведению поэтапных, комплексных реформ законодательства Республики Таджикистан, модернизации производства и технологически</w:t>
      </w:r>
      <w:r>
        <w:t>х процессов, привлечения иностранных и отечественных инвестиций, усиления государственно-частного сотрудничества, совершенствования кредитно-финансовой системы поддержки субъектов малого и среднего предпринимательства, предоставление субъектам малого и сре</w:t>
      </w:r>
      <w:r>
        <w:t>днего предпринимательства государственных субсидий и льготных кредитов, улучшения качества, увеличение объёмов производимой отечественной продукции и повышение объёмов её экспорта.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развития предпринимательства в Республике Таджик</w:t>
      </w:r>
      <w:r>
        <w:rPr>
          <w:rFonts w:eastAsia="Times New Roman"/>
        </w:rPr>
        <w:t>истан был принят ряд нормативных правовых актов, а именно:</w:t>
      </w:r>
    </w:p>
    <w:p w:rsidR="00000000" w:rsidRDefault="00A84BE0">
      <w:pPr>
        <w:pStyle w:val="a3"/>
      </w:pPr>
      <w:r>
        <w:t>- Закон Республики Таджикистан от 10 мая 2002 года, № 46 "О государственной защите и поддержке предпринимательства в Республике Таджикистан";</w:t>
      </w:r>
    </w:p>
    <w:p w:rsidR="00000000" w:rsidRDefault="00A84BE0">
      <w:pPr>
        <w:pStyle w:val="a3"/>
      </w:pPr>
      <w:r>
        <w:t>- Стратегия сокращения бедности, утверждённая постановл</w:t>
      </w:r>
      <w:r>
        <w:t>ением Маджлиси намояндагон Маджлиси Оли Республики Таджикистан от 19 июня 2002 года,№ 666;</w:t>
      </w:r>
    </w:p>
    <w:p w:rsidR="00000000" w:rsidRDefault="00A84BE0">
      <w:pPr>
        <w:pStyle w:val="a3"/>
      </w:pPr>
      <w:r>
        <w:t xml:space="preserve">- Закон Республики Таджикистан от 17 мая 2004 года, </w:t>
      </w:r>
      <w:hyperlink r:id="rId6" w:history="1">
        <w:r>
          <w:rPr>
            <w:rStyle w:val="a4"/>
          </w:rPr>
          <w:t>№ 37</w:t>
        </w:r>
      </w:hyperlink>
      <w:r>
        <w:t xml:space="preserve"> "О лицензировании отдельных видов деятельности";</w:t>
      </w:r>
    </w:p>
    <w:p w:rsidR="00000000" w:rsidRDefault="00A84BE0">
      <w:pPr>
        <w:pStyle w:val="a3"/>
      </w:pPr>
      <w:r>
        <w:t>- Концепция развития предпри</w:t>
      </w:r>
      <w:r>
        <w:t>нимательства Республики Таджикистан до 2015 года, утвержденная постановлением Правительства Республики Таджикистан от 3 декабря 2004 года №469;</w:t>
      </w:r>
    </w:p>
    <w:p w:rsidR="00000000" w:rsidRDefault="00A84BE0">
      <w:pPr>
        <w:pStyle w:val="a3"/>
      </w:pPr>
      <w:r>
        <w:t>- Закон Республики Таджикистан от 28 июля 2006 года, № 19 "О проверках деятельности хозяйствующих субъектов в Ре</w:t>
      </w:r>
      <w:r>
        <w:t>спублике Таджикистан";</w:t>
      </w:r>
    </w:p>
    <w:p w:rsidR="00000000" w:rsidRDefault="00A84BE0">
      <w:pPr>
        <w:pStyle w:val="a3"/>
      </w:pPr>
      <w:r>
        <w:t>- Стратегия национального развития до 2015 года, утвержденная постановлением Маджлиси намояндагон Маджлиси Оли Республики Таджикистан от 28 июня 2007 года, № 704;</w:t>
      </w:r>
    </w:p>
    <w:p w:rsidR="00000000" w:rsidRDefault="00A84BE0">
      <w:pPr>
        <w:pStyle w:val="a3"/>
      </w:pPr>
      <w:r>
        <w:t>- Закон Республики Таджикистан от 26 марта 2009 года, № 505 "О моратор</w:t>
      </w:r>
      <w:r>
        <w:t>ии на проверки деятельности субъектов малого и среднего предпринимательства в Республике Таджикистан";</w:t>
      </w:r>
    </w:p>
    <w:p w:rsidR="00000000" w:rsidRDefault="00A84BE0">
      <w:pPr>
        <w:pStyle w:val="a3"/>
      </w:pPr>
      <w:r>
        <w:t>- Закон Республики Таджикистан от 19 мая 2009 года, № 508 "О государственной регистрации юридических лиц и индивидуальных предпринимателей";</w:t>
      </w:r>
    </w:p>
    <w:p w:rsidR="00000000" w:rsidRDefault="00A84BE0">
      <w:pPr>
        <w:pStyle w:val="a3"/>
      </w:pPr>
      <w:r>
        <w:t xml:space="preserve">- Программа </w:t>
      </w:r>
      <w:r>
        <w:t>улучшения предпринимательской среды - 200 дней реформ, утвержденная постановлением Правительства Республики Таджикистан от 2 июля 2009 года, № 386.</w:t>
      </w:r>
    </w:p>
    <w:p w:rsidR="00000000" w:rsidRDefault="00A84B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Проведены реформы по упрощению процедуры государственной регистрации субъектов предпринимательства, лицензир</w:t>
      </w:r>
      <w:r>
        <w:rPr>
          <w:rFonts w:eastAsia="Times New Roman"/>
        </w:rPr>
        <w:t>ованию, получению различных лицензионных документов, упрощены порядок проведения проверок деятельности субъектов предпринимательской деятельности, процедура банкротства предприятий, а также реализованы иные мероприятия, которые направлены на улучшение пред</w:t>
      </w:r>
      <w:r>
        <w:rPr>
          <w:rFonts w:eastAsia="Times New Roman"/>
        </w:rPr>
        <w:t>принимательской среды в Таджикистане.</w:t>
      </w:r>
    </w:p>
    <w:p w:rsidR="00000000" w:rsidRDefault="00A84B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данным Агентства по статистике при Президенте Республики Таджикистан и Налогового комитета при Правительстве Республики Таджикистан за период 2005-2010 гг. в республике наблюдается устойчивый рост субъектов предпринимательской деятельности.</w:t>
      </w:r>
    </w:p>
    <w:p w:rsidR="00000000" w:rsidRDefault="00A84BE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данным та</w:t>
      </w:r>
      <w:r>
        <w:rPr>
          <w:rFonts w:eastAsia="Times New Roman"/>
        </w:rPr>
        <w:t>блицы прослеживается, что количество субъектов предпринимательства в 2010 году по сравнению с 2009 годом снизилось. Это связано, прежде всего, с воздействием мирового финансового кризиса, повышением цен на нефтепродукты, что в свою очередь негативно повлия</w:t>
      </w:r>
      <w:r>
        <w:rPr>
          <w:rFonts w:eastAsia="Times New Roman"/>
        </w:rPr>
        <w:t>ло на социально-экономическую обстановку в стране и породило другие негативные факторы.</w:t>
      </w:r>
    </w:p>
    <w:p w:rsidR="00000000" w:rsidRDefault="00A84BE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результате принятия Закона Республики Таджикистан от 18 мая 2009 года, № 643 "О государственной регистрации юридических лиц и индивидуальных предпринимателей" и Закон</w:t>
      </w:r>
      <w:r>
        <w:rPr>
          <w:rFonts w:eastAsia="Times New Roman"/>
        </w:rPr>
        <w:t>а Республики Таджикистан от 29 декабря 2010 года, № 669 "О внесении изменений и дополнений в Закон Республики Таджикистан "О государственной регистрации юридических лиц и индивидуальных предпринимателей" был введен новый порядок регистрации субъектов предп</w:t>
      </w:r>
      <w:r>
        <w:rPr>
          <w:rFonts w:eastAsia="Times New Roman"/>
        </w:rPr>
        <w:t>ринимательства, что позволило исключить дублирования и определить реальное количество предпринимателей.</w:t>
      </w:r>
    </w:p>
    <w:p w:rsidR="00000000" w:rsidRDefault="00A84BE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Несмотря на предпринятые Правительством Республики Таджикистан меры для смягчения последствий финансового кризиса, существует необходимость принятия доп</w:t>
      </w:r>
      <w:r>
        <w:rPr>
          <w:rFonts w:eastAsia="Times New Roman"/>
        </w:rPr>
        <w:t>олнительных конкретных мер, направленных на оказание реальной помощи предпринимательству, как одному из секторов, способствующему росту экономики страны.</w:t>
      </w:r>
    </w:p>
    <w:p w:rsidR="00000000" w:rsidRDefault="00A84BE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Согласно ежегодному отчету Всемирного Банка "Ведение бизнеса", по результатам проведенных реформ в 200</w:t>
      </w:r>
      <w:r>
        <w:rPr>
          <w:rFonts w:eastAsia="Times New Roman"/>
        </w:rPr>
        <w:t>9 и 2010 годах Республика Таджикистан улучшила свои показатели на 25 пунктов и вошла в десятку стран, лидирующих в проведении реформ, направленных на создание благоприятных условий для предпринимательской деятельности. Главными целями проведенных реформ бы</w:t>
      </w:r>
      <w:r>
        <w:rPr>
          <w:rFonts w:eastAsia="Times New Roman"/>
        </w:rPr>
        <w:t>ли упрощение процедур создания и деятельности предприятий, укрепление прав собственности и совершенствование процедур банкротства, урегулирования коммерческих споров и улучшение условий регистрации предприятий.</w:t>
      </w:r>
    </w:p>
    <w:p w:rsidR="00000000" w:rsidRDefault="00A84BE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Несмотря на положительные тенденции развития </w:t>
      </w:r>
      <w:r>
        <w:rPr>
          <w:rFonts w:eastAsia="Times New Roman"/>
        </w:rPr>
        <w:t>предпринимательства в Республике Таджикистан, наблюдается ряд факторов, которые препятствуют развитию производства:</w:t>
      </w:r>
    </w:p>
    <w:p w:rsidR="00000000" w:rsidRDefault="00A84BE0">
      <w:pPr>
        <w:pStyle w:val="a3"/>
      </w:pPr>
      <w:r>
        <w:t>-несовершенство нормативных правовых актов, регулирующих развитие предпринимательства, лицензирование, сертификацию, проведение проверок, на</w:t>
      </w:r>
      <w:r>
        <w:t>логообложение субъектов малого и среднего предпринимательства, экспорт и импорт товаров; - недостаток финансовых и инвестиционных ресурсов; - высокий уровень коррупции в государственных органах; -недостаточный уровень профессиональной подготовки квалифицир</w:t>
      </w:r>
      <w:r>
        <w:t>ованных кадров органов государственной власти и предпринимательства;</w:t>
      </w:r>
    </w:p>
    <w:p w:rsidR="00000000" w:rsidRDefault="00A84BE0">
      <w:pPr>
        <w:pStyle w:val="a3"/>
      </w:pPr>
      <w:r>
        <w:t>-неразвитая инфраструктура поддержки предпринимателей, и в особенности начинающих; - слабое государственно-частное сотрудничество; -несовершенство кредитно-финансовой системы поддержки су</w:t>
      </w:r>
      <w:r>
        <w:t>бъектов малого и среднего предпринимательства; -низкий уровень производительности труда.</w:t>
      </w:r>
    </w:p>
    <w:p w:rsidR="00000000" w:rsidRDefault="00A84BE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Существующая кредитно-финансовая система поддержки субъектов малого и среднего предпринимательства в Республике Таджикистан еще не до конца сформирована и не соответст</w:t>
      </w:r>
      <w:r>
        <w:rPr>
          <w:rFonts w:eastAsia="Times New Roman"/>
        </w:rPr>
        <w:t>вует международным стандартам. В частности, при выдаче кредитов субъектам малого и среднего предпринимательства со стороны банков и</w:t>
      </w:r>
    </w:p>
    <w:p w:rsidR="00000000" w:rsidRDefault="00A84BE0">
      <w:pPr>
        <w:pStyle w:val="a3"/>
      </w:pPr>
      <w:r>
        <w:t>других финансовых организаций применяются высокие процентные ставки и на относительно короткий срок. В связи с чем, субъекта</w:t>
      </w:r>
      <w:r>
        <w:t>м малого и среднего предпринимательства ограничен доступ к финансам, вследствие чего в республике наблюдаются:</w:t>
      </w:r>
    </w:p>
    <w:p w:rsidR="00000000" w:rsidRDefault="00A84BE0">
      <w:pPr>
        <w:pStyle w:val="a3"/>
      </w:pPr>
      <w:r>
        <w:t>-низкий уровень развития промышленных и сельскохозяйственных предприятий;</w:t>
      </w:r>
    </w:p>
    <w:p w:rsidR="00000000" w:rsidRDefault="00A84BE0">
      <w:pPr>
        <w:pStyle w:val="a3"/>
      </w:pPr>
      <w:r>
        <w:t xml:space="preserve">- использование устаревшей техники и производственного оборудования; - </w:t>
      </w:r>
      <w:r>
        <w:t>низкий уровень технологического производства;</w:t>
      </w:r>
    </w:p>
    <w:p w:rsidR="00000000" w:rsidRDefault="00A84BE0">
      <w:pPr>
        <w:pStyle w:val="a3"/>
      </w:pPr>
      <w:r>
        <w:t>-низкое качество и неконкурентоспособность выпускаемой отечественной продукции.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2. Цель и задачи Программы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Целью Программы является обеспечение благоприятных условий для развития предпринимательства в Респу</w:t>
      </w:r>
      <w:r>
        <w:rPr>
          <w:rFonts w:eastAsia="Times New Roman"/>
        </w:rPr>
        <w:t>блике Таджикистан.</w:t>
      </w:r>
    </w:p>
    <w:p w:rsidR="00000000" w:rsidRDefault="00A84BE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Задачами данной Программы являются:</w:t>
      </w:r>
    </w:p>
    <w:p w:rsidR="00000000" w:rsidRDefault="00A84BE0">
      <w:pPr>
        <w:pStyle w:val="a3"/>
      </w:pPr>
      <w:r>
        <w:t>- создание фонда финансирования для поддержки субъектов предпринимательства;</w:t>
      </w:r>
    </w:p>
    <w:p w:rsidR="00000000" w:rsidRDefault="00A84BE0">
      <w:pPr>
        <w:pStyle w:val="a3"/>
      </w:pPr>
      <w:r>
        <w:t>- материально-техническая поддержка предпринимательства за счет льготного предоставления оборудования, производственных поме</w:t>
      </w:r>
      <w:r>
        <w:t>щений и технологий;</w:t>
      </w:r>
    </w:p>
    <w:p w:rsidR="00000000" w:rsidRDefault="00A84BE0">
      <w:pPr>
        <w:pStyle w:val="a3"/>
      </w:pPr>
      <w:r>
        <w:t>- формирование инфраструктуры поддержки предпринимательства на территории Республики Таджикистан через создание органа государственной поддержки предпринимательства и предоставления ему больших полномочий;</w:t>
      </w:r>
    </w:p>
    <w:p w:rsidR="00000000" w:rsidRDefault="00A84BE0">
      <w:pPr>
        <w:pStyle w:val="a3"/>
      </w:pPr>
      <w:r>
        <w:t xml:space="preserve">- сокращение административных </w:t>
      </w:r>
      <w:r>
        <w:t>барьеров при создании и ведении бизнеса;</w:t>
      </w:r>
    </w:p>
    <w:p w:rsidR="00000000" w:rsidRDefault="00A84BE0">
      <w:pPr>
        <w:pStyle w:val="a3"/>
      </w:pPr>
      <w:r>
        <w:t>- государственная поддержка приоритетных направлений развития предпринимательства; - развитие малых и средних форм хозяйствования; - поощрение создания институтов самоподдержки предпринимательства в форме производст</w:t>
      </w:r>
      <w:r>
        <w:t>венных, сбытовых, кредитных кооперативов; - поддержка инновационного предпринимательства;</w:t>
      </w:r>
    </w:p>
    <w:p w:rsidR="00000000" w:rsidRDefault="00A84BE0">
      <w:pPr>
        <w:pStyle w:val="a3"/>
      </w:pPr>
      <w:r>
        <w:t>- обеспечение информационной и консультационной поддержки предпринимательства;</w:t>
      </w:r>
    </w:p>
    <w:p w:rsidR="00000000" w:rsidRDefault="00A84BE0">
      <w:pPr>
        <w:pStyle w:val="a3"/>
      </w:pPr>
      <w:r>
        <w:t>- содействие в подготовке и повышении квалификации кадров для предпринимательства; -создание благоприятных условий для субъектов предпринимательства, способствующих созданию дополнительных рабочих мест.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3.Совершенствование законодательства в сфере регули</w:t>
      </w:r>
      <w:r>
        <w:rPr>
          <w:rFonts w:eastAsia="Times New Roman"/>
        </w:rPr>
        <w:t>рования деятельности субъектов предпринимательства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анализа нормативных правовых актов Республики Таджикистан, регулирующих развитие предпринимательства, и разработка предложений по их совершенствованию.</w:t>
      </w:r>
    </w:p>
    <w:p w:rsidR="00000000" w:rsidRDefault="00A84BE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Разработка проектов законодательных акто</w:t>
      </w:r>
      <w:r>
        <w:rPr>
          <w:rFonts w:eastAsia="Times New Roman"/>
        </w:rPr>
        <w:t>в Республики Таджикистан, регулирующих развитие предпринимательского сектора, так как большое количество вопросов не были решены в рамках существующих нормативных правовых актов в сфере предпринимательства. В том числе, существует большое количество препят</w:t>
      </w:r>
      <w:r>
        <w:rPr>
          <w:rFonts w:eastAsia="Times New Roman"/>
        </w:rPr>
        <w:t>ствий в сфере лицензирования и проверок и при принятии соответствующих нормативных правовых актов будут достигнуты следующие результаты:</w:t>
      </w:r>
    </w:p>
    <w:p w:rsidR="00000000" w:rsidRDefault="00A84BE0">
      <w:pPr>
        <w:pStyle w:val="a3"/>
      </w:pPr>
      <w:r>
        <w:t>- упрощение системы лицензирования, в частности упрощение порядка выдачи лицензий, сокращение лицензируемых видов деяте</w:t>
      </w:r>
      <w:r>
        <w:t>льности, сокращение временных сроков на рассмотрение документов лицензиата, сокращение количества документов, необходимых для получения лицензии, разработка и внедрение электронного регистра, внедрение в процедуру лицензирования принципа "молчание - знак с</w:t>
      </w:r>
      <w:r>
        <w:t>огласия", механизма "самолицензирования" (понятие принципа "самолицензирования" будет предусмотрено в нормативных правовых актах, которые будут разработаны в дальнейшем) в некоторые виды деятельности с изучением практики других государств; -упрощение систе</w:t>
      </w:r>
      <w:r>
        <w:t>мы проверок, сокращение количества государственных органов, осуществляющих проведение проверок.</w:t>
      </w:r>
    </w:p>
    <w:p w:rsidR="00000000" w:rsidRDefault="00A84BE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общественного обсуждения через средства массовой информации проектов нормативных правовых актов Республики Таджикистан, регулирующих развитие предпри</w:t>
      </w:r>
      <w:r>
        <w:rPr>
          <w:rFonts w:eastAsia="Times New Roman"/>
        </w:rPr>
        <w:t>нимательства.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4. Содействие укреплению государственночастного сотрудничества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оценки развития предпринимательства на всех уровнях поможет в усилении сотрудничества государства и частного сектора .</w:t>
      </w:r>
    </w:p>
    <w:p w:rsidR="00000000" w:rsidRDefault="00A84BE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Расширение сотрудничества государства и частн</w:t>
      </w:r>
      <w:r>
        <w:rPr>
          <w:rFonts w:eastAsia="Times New Roman"/>
        </w:rPr>
        <w:t>ого сектора будет осуществляться следующим образом:</w:t>
      </w:r>
    </w:p>
    <w:p w:rsidR="00000000" w:rsidRDefault="00A84BE0">
      <w:pPr>
        <w:pStyle w:val="a3"/>
      </w:pPr>
      <w:r>
        <w:t>-предоставление субъектам малого и среднего предпринимательства государственных субсидий;</w:t>
      </w:r>
    </w:p>
    <w:p w:rsidR="00000000" w:rsidRDefault="00A84BE0">
      <w:pPr>
        <w:pStyle w:val="a3"/>
      </w:pPr>
      <w:r>
        <w:t>-предоставление субъектам малого и среднего предпринимательства льготного кредитования;</w:t>
      </w:r>
    </w:p>
    <w:p w:rsidR="00000000" w:rsidRDefault="00A84BE0">
      <w:pPr>
        <w:pStyle w:val="a3"/>
      </w:pPr>
      <w:r>
        <w:t>-снижение налоговых ставок</w:t>
      </w:r>
      <w:r>
        <w:t xml:space="preserve"> для субъектов малого и среднего предпринимательства; - упрощение процедуры экспорта;</w:t>
      </w:r>
    </w:p>
    <w:p w:rsidR="00000000" w:rsidRDefault="00A84BE0">
      <w:pPr>
        <w:pStyle w:val="a3"/>
      </w:pPr>
      <w:r>
        <w:t>-содействие в модернизации производства и технологических процессов по выпуску отечественной продукции и её экспорта;</w:t>
      </w:r>
    </w:p>
    <w:p w:rsidR="00000000" w:rsidRDefault="00A84BE0">
      <w:pPr>
        <w:pStyle w:val="a3"/>
      </w:pPr>
      <w:r>
        <w:t>- совершенствование процедуры аренды государственной</w:t>
      </w:r>
      <w:r>
        <w:t xml:space="preserve"> собственности;</w:t>
      </w:r>
    </w:p>
    <w:p w:rsidR="00000000" w:rsidRDefault="00A84BE0">
      <w:pPr>
        <w:pStyle w:val="a3"/>
      </w:pPr>
      <w:r>
        <w:t xml:space="preserve">-совершенствование процесса вовлечения и участия предпринимателей в государственных тендерах, торгах и, государственных заказах; -проведение систематических встреч с представителями частного сектора в областях, городах и районах Республики </w:t>
      </w:r>
      <w:r>
        <w:t>Таджикистан с целью выявления и решения проблем, препятствующих развитию предпринимательства;</w:t>
      </w:r>
    </w:p>
    <w:p w:rsidR="00000000" w:rsidRDefault="00A84BE0">
      <w:pPr>
        <w:pStyle w:val="a3"/>
      </w:pPr>
      <w:r>
        <w:t>-проведение торгово-экономических выставок и ярмарок отечественной продукции на территории Республики Таджикистан и за её пределами.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5. Повышение потенциала пре</w:t>
      </w:r>
      <w:r>
        <w:rPr>
          <w:rFonts w:eastAsia="Times New Roman"/>
        </w:rPr>
        <w:t>дпринимателей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организации и проведении семинаров, конференций, курсов, тренингов, круглых столов и иных информационнообразовательных программ по развитию предпринимательской деятельности увеличится потенциал предпринимателей.</w:t>
      </w:r>
    </w:p>
    <w:p w:rsidR="00000000" w:rsidRDefault="00A84BE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Создание бизнес - инкубаторов для предпринимателей в городах Душанбе, Худжанде, Хороге и Кулябе1, в свою очередь дадут возможность:</w:t>
      </w:r>
    </w:p>
    <w:p w:rsidR="00000000" w:rsidRDefault="00A84BE0">
      <w:pPr>
        <w:pStyle w:val="a3"/>
      </w:pPr>
      <w:r>
        <w:t>-предоставления субъектам предпринимательства помещений в аренду на льготной основе;</w:t>
      </w:r>
    </w:p>
    <w:p w:rsidR="00000000" w:rsidRDefault="00A84BE0">
      <w:pPr>
        <w:pStyle w:val="a3"/>
      </w:pPr>
      <w:r>
        <w:t>-организации комплексного и квалифициро</w:t>
      </w:r>
      <w:r>
        <w:t>ванного обслуживания субъектов малого и среднего предпринимательства на различных этапах их развития, через предоставление адресной методической, информационной, консультационной, образовательной, правовой поддержки, а также развитие сотрудничества между с</w:t>
      </w:r>
      <w:r>
        <w:t>убъектами малого и среднего предпринимательства;</w:t>
      </w:r>
    </w:p>
    <w:p w:rsidR="00000000" w:rsidRDefault="00A84BE0">
      <w:pPr>
        <w:pStyle w:val="a3"/>
      </w:pPr>
      <w:r>
        <w:t>-повышения уровня информированности и правовых знаний предпринимателей в сфере малого и среднего предпринимательства;</w:t>
      </w:r>
    </w:p>
    <w:p w:rsidR="00000000" w:rsidRDefault="00A84BE0">
      <w:pPr>
        <w:pStyle w:val="a3"/>
      </w:pPr>
      <w:r>
        <w:t>-организации взаимодействия субъектов малого и среднего предпринимательства и органов гос</w:t>
      </w:r>
      <w:r>
        <w:t>ударственной власти;</w:t>
      </w:r>
    </w:p>
    <w:p w:rsidR="00000000" w:rsidRDefault="00A84BE0">
      <w:pPr>
        <w:pStyle w:val="a3"/>
      </w:pPr>
      <w:r>
        <w:t>-выявления и решения существующих проблем деятельности субъектов малого и среднего предпринимательства на республиканском и местном уровнях.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6. Информационная поддержка субъектов предпринимательства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Уполномоченный орган по государс</w:t>
      </w:r>
      <w:r>
        <w:rPr>
          <w:rFonts w:eastAsia="Times New Roman"/>
        </w:rPr>
        <w:t>твенной поддержке предпринимательства при технической помощи международных донорских организаций создаёт для субъектов предпринимательства специализированный информационный сайт в сети "Интернет". Данный сайт обеспечит отечественных и иностранных предприни</w:t>
      </w:r>
      <w:r>
        <w:rPr>
          <w:rFonts w:eastAsia="Times New Roman"/>
        </w:rPr>
        <w:t>мателей</w:t>
      </w:r>
    </w:p>
    <w:p w:rsidR="00000000" w:rsidRDefault="00A84BE0">
      <w:pPr>
        <w:pStyle w:val="a3"/>
      </w:pPr>
      <w:r>
        <w:t>Бнзнес-инкубатор - объект инфраструктуры поддержки субъектов малого и среднего предпринимательства, осуществляющий поддержку предпринимателей на ранней стадии их деятельности через предоставление в аренду помещении, оказание консультационных, бухга</w:t>
      </w:r>
      <w:r>
        <w:t>лтерских, юридических и других услуг.</w:t>
      </w:r>
    </w:p>
    <w:p w:rsidR="00000000" w:rsidRDefault="00A84BE0">
      <w:pPr>
        <w:pStyle w:val="a3"/>
      </w:pPr>
      <w:r>
        <w:t>информацией о производстве товаров, работ и услугах в Республике Таджикистан.</w:t>
      </w:r>
    </w:p>
    <w:p w:rsidR="00000000" w:rsidRDefault="00A84BE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Освещение вопросов предпринимательства проводится через средства массовой информации.</w:t>
      </w:r>
    </w:p>
    <w:p w:rsidR="00000000" w:rsidRDefault="00A84BE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целью информационной поддержки субъектов предпринима</w:t>
      </w:r>
      <w:r>
        <w:rPr>
          <w:rFonts w:eastAsia="Times New Roman"/>
        </w:rPr>
        <w:t>тельства, уполномоченным органом по государственной поддержке предпринимательства будут издаваться следующие материалы:</w:t>
      </w:r>
    </w:p>
    <w:p w:rsidR="00000000" w:rsidRDefault="00A84BE0">
      <w:pPr>
        <w:pStyle w:val="a3"/>
      </w:pPr>
      <w:r>
        <w:t>-справочные материалы и методические пособия по предпринимательству;</w:t>
      </w:r>
    </w:p>
    <w:p w:rsidR="00000000" w:rsidRDefault="00A84BE0">
      <w:pPr>
        <w:pStyle w:val="a3"/>
      </w:pPr>
      <w:r>
        <w:t>- информационные бюллетени;</w:t>
      </w:r>
    </w:p>
    <w:p w:rsidR="00000000" w:rsidRDefault="00A84BE0">
      <w:pPr>
        <w:pStyle w:val="a3"/>
      </w:pPr>
      <w:r>
        <w:t>-каталоги товаров, производимых субъект</w:t>
      </w:r>
      <w:r>
        <w:t>ами предпринимательства Республики Таджикистан.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7. Поддержка субъектов предпринимательства, занятых производством и (или) реализацией товаров, работ, услуг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Предоставление субъектам малого и среднего предпринимательства государственной финансовой поддер</w:t>
      </w:r>
      <w:r>
        <w:rPr>
          <w:rFonts w:eastAsia="Times New Roman"/>
        </w:rPr>
        <w:t>жки, проводится посредством предоставления государственных субсидий, налоговых льгот и таможенных преференций.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8. Совершенствование кредитно-финансовой системы поддержки субъектов малого и среднего предпринимательства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Принять необходимые меры в соответствии с законодательством Республики Таджикистан для создания совместного Фонда кредитования предпринимателей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Совершенствование механизмов внедрения института поручительства, как альтернативного варианта залогового обеспеч</w:t>
      </w:r>
      <w:r>
        <w:rPr>
          <w:rFonts w:eastAsia="Times New Roman"/>
        </w:rPr>
        <w:t>ения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Подготовка обоснованных предложений по снижению процентных ставок по кредитам, выдаваемым банками и другими финансовыми институтами субъектам малого и среднего предпринимательства.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Модернизирование механизмов и структур кредитования и самофинансирован</w:t>
      </w:r>
      <w:r>
        <w:rPr>
          <w:rFonts w:eastAsia="Times New Roman"/>
        </w:rPr>
        <w:t>ия субъектов малого и среднего предпринимательства (кредитные кооперативы).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Усовершенствование механизма государственного субсидирования части коммерческой процентной ставки по банковским кредитам, предоставляемым субъектам малого и среднего предпринимател</w:t>
      </w:r>
      <w:r>
        <w:rPr>
          <w:rFonts w:eastAsia="Times New Roman"/>
        </w:rPr>
        <w:t>ьства.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Разработка системы государственной компенсации банковских процентов по кредитам на приобретения субъектами малого и среднего предпринимательства инновационного и высокотехнологического оборудования.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Разработка и представление в Правительство Республ</w:t>
      </w:r>
      <w:r>
        <w:rPr>
          <w:rFonts w:eastAsia="Times New Roman"/>
        </w:rPr>
        <w:t>ики Таджикистан эффективного механизма лизинга оборудования и технологий.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Развитие механизмов и структур микрокредитования и самофинансирования субъектов малого и среднего предпринимательства (кредитные кооперативы).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Рассмотрение возможности выделения допо</w:t>
      </w:r>
      <w:r>
        <w:rPr>
          <w:rFonts w:eastAsia="Times New Roman"/>
        </w:rPr>
        <w:t>лнительных налоговых преференций для инвесторов, финансирующих долгосрочные и (или) стартовые проекты субъектов малого и среднего предпринимательства, входящих в перечень приоритетных видов деятельности предпринимательства, и в особенности имеющих отношени</w:t>
      </w:r>
      <w:r>
        <w:rPr>
          <w:rFonts w:eastAsia="Times New Roman"/>
        </w:rPr>
        <w:t>е к сфере инноваций и высоких технологий.</w:t>
      </w:r>
    </w:p>
    <w:p w:rsidR="00000000" w:rsidRDefault="00A84BE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Приведение банковского законодательства в соответствие с мероприятиями данной Программы для реализации совершенствования системы кредитной и финансовой поддержки субъектов малого и среднего предпринимательства.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9</w:t>
      </w:r>
      <w:r>
        <w:rPr>
          <w:rFonts w:eastAsia="Times New Roman"/>
        </w:rPr>
        <w:t>. Сроки реализации Программы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Настоящая Программа реализуется 3 этапами на основании принятых в соответствующем порядке Правительством Республики Таджикистан планов мероприятий для реализации Государственной программы поддержки предпринимательства.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10. Фи</w:t>
      </w:r>
      <w:r>
        <w:rPr>
          <w:rFonts w:eastAsia="Times New Roman"/>
        </w:rPr>
        <w:t>нансирование Программных мероприятий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Финансирование программных мероприятий осуществляется поэтапно за счёт бюджетных средств отраслевых министерств и ведомств и других внебюджетных источников. Объём финансирования реализации настоящей Программы за счёт </w:t>
      </w:r>
      <w:r>
        <w:rPr>
          <w:rFonts w:eastAsia="Times New Roman"/>
        </w:rPr>
        <w:t>средств Государственного бюджета Республики Таджикистан определяется в соответствии с Планом мероприятий и Планом финансирования реализации данной Программы.</w:t>
      </w:r>
    </w:p>
    <w:p w:rsidR="00000000" w:rsidRDefault="00A84BE0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Объём финансовых средств, необходимый для реализации первого этапа Программы на период с 2012 по 2</w:t>
      </w:r>
      <w:r>
        <w:rPr>
          <w:rFonts w:eastAsia="Times New Roman"/>
        </w:rPr>
        <w:t>014 годы, составляет 6500,8 (шесть миллионов пятьсот тысяч восемьсот) сомони, из них за счет бюджетных средств - 5834,1 (пять миллионов восемьсот тридцать четыре тысячи сто) сомони, за счет внебюджетных средств - 666,7 (шестьсот шестьдесят шесть тысяч семь</w:t>
      </w:r>
      <w:r>
        <w:rPr>
          <w:rFonts w:eastAsia="Times New Roman"/>
        </w:rPr>
        <w:t xml:space="preserve">сот) сомони. Так, финансирование в 2012 году составляет 2258,7 (два миллиона двести пятьдесят восемь тысяч семьсот) сомони, в 2013 году - 1905,7 (один миллион девятьсот пять тысяч семьсот) сомони, и в 2014 году - 2336,4 (два миллиона триста тридцать шесть </w:t>
      </w:r>
      <w:r>
        <w:rPr>
          <w:rFonts w:eastAsia="Times New Roman"/>
        </w:rPr>
        <w:t>тысяч четыреста) сомони (согласно приложению № 2).</w:t>
      </w:r>
    </w:p>
    <w:p w:rsidR="00000000" w:rsidRDefault="00A84BE0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Государственный комитет по инвестициям и управлению государственным имуществом Республики Таджикистан совместно с Министерством финансов Республики Таджикистан ежегодно подготавливают заявку на бюджетное ф</w:t>
      </w:r>
      <w:r>
        <w:rPr>
          <w:rFonts w:eastAsia="Times New Roman"/>
        </w:rPr>
        <w:t>инансирование Программы и представляют в Правительство Республики Таджикистан. Заявка на бюджетное финансирование Программы представляется не позднее 10 августа соответствующего года. Проект финансовой заявки одобряется Правительством Республики Таджикиста</w:t>
      </w:r>
      <w:r>
        <w:rPr>
          <w:rFonts w:eastAsia="Times New Roman"/>
        </w:rPr>
        <w:t>н. Заявка на бюджетное финансирование Программы в соответствии с законодательством Республики Таджикистан учитывается при разработке Закона Республики Таджикистан о Государственном бюджете Республики Таджикистан на очередной год.</w:t>
      </w:r>
    </w:p>
    <w:p w:rsidR="00000000" w:rsidRDefault="00A84BE0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тех случаях, когда цели,</w:t>
      </w:r>
      <w:r>
        <w:rPr>
          <w:rFonts w:eastAsia="Times New Roman"/>
        </w:rPr>
        <w:t xml:space="preserve"> задачи и мероприятия, указанные в настоящей Программе, совпадают с целями, задачами и мероприятиями международных организаций, они могут финансировать Программу, исходя из своих финансовых возможностей.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11. Перечень приоритетных видов деятельности субъе</w:t>
      </w:r>
      <w:r>
        <w:rPr>
          <w:rFonts w:eastAsia="Times New Roman"/>
        </w:rPr>
        <w:t>ктов предпринимательства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целях оказания финансовой поддержки на территории Республики Таджикистан, приоритетными видами деятельности субъектов малого и среднего предпринимательства определены: - сельское хозяйство;</w:t>
      </w:r>
    </w:p>
    <w:p w:rsidR="00000000" w:rsidRDefault="00A84BE0">
      <w:pPr>
        <w:pStyle w:val="a3"/>
      </w:pPr>
      <w:r>
        <w:t>- производство и переработка продукции, в том числе производство товаров народного потребления, пищевой и промышленной продукции;</w:t>
      </w:r>
    </w:p>
    <w:p w:rsidR="00000000" w:rsidRDefault="00A84BE0">
      <w:pPr>
        <w:pStyle w:val="a3"/>
      </w:pPr>
      <w:r>
        <w:t>- строительство, в том числе строительство дорог, мостов и малых ГЭС;</w:t>
      </w:r>
    </w:p>
    <w:p w:rsidR="00000000" w:rsidRDefault="00A84BE0">
      <w:pPr>
        <w:pStyle w:val="a3"/>
      </w:pPr>
      <w:r>
        <w:t>- утилизация промышленных и бытовых отходов;</w:t>
      </w:r>
    </w:p>
    <w:p w:rsidR="00000000" w:rsidRDefault="00A84BE0">
      <w:pPr>
        <w:pStyle w:val="a3"/>
      </w:pPr>
      <w:r>
        <w:t>- жилищно -</w:t>
      </w:r>
      <w:r>
        <w:t xml:space="preserve"> коммунальное хозяйство; - организация обучения техническим профессиям;</w:t>
      </w:r>
    </w:p>
    <w:p w:rsidR="00000000" w:rsidRDefault="00A84BE0">
      <w:pPr>
        <w:pStyle w:val="a3"/>
      </w:pPr>
      <w:r>
        <w:t>- туризм; - инновационная деятельность.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12. Механизм и управление реализации Программы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Общее руководство за ходом реализации Программы осуществляет Государственный комитет по инвес</w:t>
      </w:r>
      <w:r>
        <w:rPr>
          <w:rFonts w:eastAsia="Times New Roman"/>
        </w:rPr>
        <w:t>тициям и управлению государственным имуществом Республики Таджикистан.</w:t>
      </w:r>
    </w:p>
    <w:p w:rsidR="00000000" w:rsidRDefault="00A84BE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оказания содействия в реализации Программы, программных мероприятий и мониторинга хода реализации Программы Государственный комитет по инвестициям и управлению государственным имуще</w:t>
      </w:r>
      <w:r>
        <w:rPr>
          <w:rFonts w:eastAsia="Times New Roman"/>
        </w:rPr>
        <w:t>ством Республики Таджикистан привлекает на срок действия программы на постоянной основе группу специалистов, состоящей из 3 человек.</w:t>
      </w:r>
    </w:p>
    <w:p w:rsidR="00000000" w:rsidRDefault="00A84BE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Группа специалистов назначается Государственным комитетом по инвестициям и управлению государственным имуществом Республики</w:t>
      </w:r>
      <w:r>
        <w:rPr>
          <w:rFonts w:eastAsia="Times New Roman"/>
        </w:rPr>
        <w:t xml:space="preserve"> Таджикистан на конкурсной основе.</w:t>
      </w:r>
    </w:p>
    <w:p w:rsidR="00000000" w:rsidRDefault="00A84BE0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Эта группа специалистов выполняет функции и задачи, возложенные на нее в связи с ходом реализации Программы</w:t>
      </w:r>
    </w:p>
    <w:p w:rsidR="00000000" w:rsidRDefault="00A84BE0">
      <w:pPr>
        <w:pStyle w:val="a3"/>
      </w:pPr>
      <w:r>
        <w:t>Государственным комитетом по инвестициям и управлению государственным имуществом Республики Таджикистан.</w:t>
      </w:r>
    </w:p>
    <w:p w:rsidR="00000000" w:rsidRDefault="00A84BE0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Финансир</w:t>
      </w:r>
      <w:r>
        <w:rPr>
          <w:rFonts w:eastAsia="Times New Roman"/>
        </w:rPr>
        <w:t>ование деятельности указанной группы осуществляется за счёт Государственного бюджета Республики Таджикистан, при возможной финансовой или технической помощи со стороны международных организаций.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13. Мониторинг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Мониторинг и координацию хода реализации П</w:t>
      </w:r>
      <w:r>
        <w:rPr>
          <w:rFonts w:eastAsia="Times New Roman"/>
        </w:rPr>
        <w:t>рограммы осуществляет Государственный комитет по инвестициям и управлению государственным имуществом Республики Таджикистан.</w:t>
      </w:r>
    </w:p>
    <w:p w:rsidR="00000000" w:rsidRDefault="00A84BE0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Государственный комитет по инвестициям и управлению государственным имуществом Республики Таджикистан на регулярной основе проводит</w:t>
      </w:r>
      <w:r>
        <w:rPr>
          <w:rFonts w:eastAsia="Times New Roman"/>
        </w:rPr>
        <w:t xml:space="preserve"> мониторинг деятельности начинающих малых предприятий и предприятий инновационной сферы, получивших финансовую поддержку в виде субсидий, и ежегодно представляет в Правительство Республики Таджикистан отчет об экономической эффективности данной формы подде</w:t>
      </w:r>
      <w:r>
        <w:rPr>
          <w:rFonts w:eastAsia="Times New Roman"/>
        </w:rPr>
        <w:t>ржки.</w:t>
      </w:r>
    </w:p>
    <w:p w:rsidR="00000000" w:rsidRDefault="00A84BE0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Государственный комитет по инвестициям и управлению государственным имуществом Республики Таджикистан готовит ежегодный отчёт о ходе реализации Программы и затраченных бюджетных средствах и представляет в Правительство Республики Таджикистан. Данный </w:t>
      </w:r>
      <w:r>
        <w:rPr>
          <w:rFonts w:eastAsia="Times New Roman"/>
        </w:rPr>
        <w:t>отчет размещается на интернет - сайте Государственного комитета по инвестициям и управлению государственным имуществом Республики Таджикистан.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14. Индикаторы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Основными индикаторами эффективности реализации Программы являются:</w:t>
      </w:r>
    </w:p>
    <w:p w:rsidR="00000000" w:rsidRDefault="00A84BE0">
      <w:pPr>
        <w:pStyle w:val="a3"/>
      </w:pPr>
      <w:r>
        <w:t>-увеличение количества субъектов предпринимательской деятельности на 50 процентов;</w:t>
      </w:r>
    </w:p>
    <w:p w:rsidR="00000000" w:rsidRDefault="00A84BE0">
      <w:pPr>
        <w:pStyle w:val="a3"/>
      </w:pPr>
      <w:r>
        <w:t>- увеличение количества создаваемых рабочих мест не менее чем на 25 процентов;</w:t>
      </w:r>
    </w:p>
    <w:p w:rsidR="00000000" w:rsidRDefault="00A84BE0">
      <w:pPr>
        <w:pStyle w:val="a3"/>
      </w:pPr>
      <w:r>
        <w:t>-увеличение привлечения иностранных инвестиций на 30 процентов;</w:t>
      </w:r>
    </w:p>
    <w:p w:rsidR="00000000" w:rsidRDefault="00A84BE0">
      <w:pPr>
        <w:pStyle w:val="a3"/>
      </w:pPr>
      <w:r>
        <w:t>- увеличение отечественных инв</w:t>
      </w:r>
      <w:r>
        <w:t>естиций на 40 процентов;</w:t>
      </w:r>
    </w:p>
    <w:p w:rsidR="00000000" w:rsidRDefault="00A84BE0">
      <w:pPr>
        <w:pStyle w:val="a3"/>
      </w:pPr>
      <w:r>
        <w:t>-увеличение объема производства отечественной продукции на 30 процентов;,</w:t>
      </w:r>
    </w:p>
    <w:p w:rsidR="00000000" w:rsidRDefault="00A84BE0">
      <w:pPr>
        <w:pStyle w:val="a3"/>
      </w:pPr>
      <w:r>
        <w:t>-увеличение объёма экспорта продукции не менее чем на 50 процентов;</w:t>
      </w:r>
    </w:p>
    <w:p w:rsidR="00000000" w:rsidRDefault="00A84BE0">
      <w:pPr>
        <w:pStyle w:val="a3"/>
      </w:pPr>
      <w:r>
        <w:t>-увеличение размера государственных субсидий, выдаваемых субъектам малого и среднего пред</w:t>
      </w:r>
      <w:r>
        <w:t>принимательства на 100 процентов;</w:t>
      </w:r>
    </w:p>
    <w:p w:rsidR="00000000" w:rsidRDefault="00A84BE0">
      <w:pPr>
        <w:pStyle w:val="a3"/>
      </w:pPr>
      <w:r>
        <w:t>- увеличение количества выдаваемых льготных кредитов субъектам малого и среднего предпринимательства на 100 процентов.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pStyle w:val="4"/>
        <w:rPr>
          <w:rFonts w:eastAsia="Times New Roman"/>
        </w:rPr>
      </w:pPr>
      <w:r>
        <w:rPr>
          <w:rFonts w:eastAsia="Times New Roman"/>
        </w:rPr>
        <w:t>15. Ожидаемые результаты</w:t>
      </w:r>
    </w:p>
    <w:p w:rsidR="00000000" w:rsidRDefault="00A84BE0">
      <w:pPr>
        <w:pStyle w:val="a3"/>
      </w:pPr>
      <w:r>
        <w:t> </w:t>
      </w:r>
    </w:p>
    <w:p w:rsidR="00000000" w:rsidRDefault="00A84BE0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Ожидаемые результаты от реализации Программы: -значительное увеличение кол</w:t>
      </w:r>
      <w:r>
        <w:rPr>
          <w:rFonts w:eastAsia="Times New Roman"/>
        </w:rPr>
        <w:t>ичества субъектов предпринимательства;</w:t>
      </w:r>
    </w:p>
    <w:p w:rsidR="00000000" w:rsidRDefault="00A84BE0">
      <w:pPr>
        <w:pStyle w:val="a3"/>
      </w:pPr>
      <w:r>
        <w:t>- совершенствование возможностей представления предпринимателям финансовой и материально-технической помощи;</w:t>
      </w:r>
    </w:p>
    <w:p w:rsidR="00000000" w:rsidRDefault="00A84BE0">
      <w:pPr>
        <w:pStyle w:val="a3"/>
      </w:pPr>
      <w:r>
        <w:t>-общее увеличение внутреннего производства, поступлений в Государственный бюджет и количества рабочих мест;</w:t>
      </w:r>
    </w:p>
    <w:p w:rsidR="00000000" w:rsidRDefault="00A84BE0">
      <w:pPr>
        <w:pStyle w:val="a3"/>
      </w:pPr>
      <w:r>
        <w:t>-обновление технологических парков и производственного оборудования;</w:t>
      </w:r>
    </w:p>
    <w:p w:rsidR="00000000" w:rsidRDefault="00A84BE0">
      <w:pPr>
        <w:pStyle w:val="a3"/>
      </w:pPr>
      <w:r>
        <w:t>- создание инфраструктуры поддержки предпринимательства на территории республики;</w:t>
      </w:r>
    </w:p>
    <w:p w:rsidR="00000000" w:rsidRDefault="00A84BE0">
      <w:pPr>
        <w:pStyle w:val="a3"/>
      </w:pPr>
      <w:r>
        <w:t>-улучшение качества и конкурентоспособности производимой отечественной продукции;</w:t>
      </w:r>
    </w:p>
    <w:p w:rsidR="00000000" w:rsidRDefault="00A84BE0">
      <w:pPr>
        <w:pStyle w:val="a3"/>
      </w:pPr>
      <w:r>
        <w:t>- увеличение объемов эк</w:t>
      </w:r>
      <w:r>
        <w:t>спорта отечественной продукции;</w:t>
      </w:r>
    </w:p>
    <w:p w:rsidR="00000000" w:rsidRDefault="00A84BE0">
      <w:pPr>
        <w:pStyle w:val="a3"/>
      </w:pPr>
      <w:r>
        <w:t>-повышение потенциала и информированности предпринимателей в сфере организации и ведения бизнеса;</w:t>
      </w:r>
    </w:p>
    <w:p w:rsidR="00000000" w:rsidRDefault="00A84BE0">
      <w:pPr>
        <w:pStyle w:val="a3"/>
      </w:pPr>
      <w:r>
        <w:t xml:space="preserve">- устранение искусственных административных барьеров, создаваемых при создании и ведении бизнеса; - совершенствование порядка </w:t>
      </w:r>
      <w:r>
        <w:t>проверок и лицензирования;</w:t>
      </w:r>
    </w:p>
    <w:p w:rsidR="00000000" w:rsidRDefault="00A84BE0">
      <w:pPr>
        <w:pStyle w:val="a3"/>
      </w:pPr>
      <w:r>
        <w:t>- создание бизнес- инкубаторов и центров поддержки предпринимательства;</w:t>
      </w:r>
    </w:p>
    <w:p w:rsidR="00A84BE0" w:rsidRDefault="00A84BE0">
      <w:pPr>
        <w:pStyle w:val="a3"/>
      </w:pPr>
      <w:r>
        <w:t>- создание благоприятных условий для ведения бизнеса.</w:t>
      </w:r>
    </w:p>
    <w:sectPr w:rsidR="00A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23"/>
    <w:multiLevelType w:val="multilevel"/>
    <w:tmpl w:val="D2CA0A8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1D5"/>
    <w:multiLevelType w:val="multilevel"/>
    <w:tmpl w:val="2B98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37151"/>
    <w:multiLevelType w:val="multilevel"/>
    <w:tmpl w:val="E4FE9A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70F91"/>
    <w:multiLevelType w:val="multilevel"/>
    <w:tmpl w:val="DFA09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40BEB"/>
    <w:multiLevelType w:val="multilevel"/>
    <w:tmpl w:val="C2804B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C3CE2"/>
    <w:multiLevelType w:val="multilevel"/>
    <w:tmpl w:val="D22A15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645BD"/>
    <w:multiLevelType w:val="multilevel"/>
    <w:tmpl w:val="5E3C9D6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419FB"/>
    <w:multiLevelType w:val="multilevel"/>
    <w:tmpl w:val="EEDE616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321A7"/>
    <w:multiLevelType w:val="multilevel"/>
    <w:tmpl w:val="8D62919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61806"/>
    <w:multiLevelType w:val="multilevel"/>
    <w:tmpl w:val="8592B4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F67FD"/>
    <w:multiLevelType w:val="multilevel"/>
    <w:tmpl w:val="3AE4A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F0857"/>
    <w:multiLevelType w:val="multilevel"/>
    <w:tmpl w:val="3AA8C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B0130"/>
    <w:multiLevelType w:val="multilevel"/>
    <w:tmpl w:val="600C3B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044BD"/>
    <w:multiLevelType w:val="multilevel"/>
    <w:tmpl w:val="87AE84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57992"/>
    <w:multiLevelType w:val="multilevel"/>
    <w:tmpl w:val="3ABC9AB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95E82"/>
    <w:multiLevelType w:val="multilevel"/>
    <w:tmpl w:val="D180A8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E16C8"/>
    <w:multiLevelType w:val="multilevel"/>
    <w:tmpl w:val="78EC67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A6AD0"/>
    <w:multiLevelType w:val="multilevel"/>
    <w:tmpl w:val="F34E96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2514A"/>
    <w:multiLevelType w:val="multilevel"/>
    <w:tmpl w:val="9342B4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83074"/>
    <w:multiLevelType w:val="multilevel"/>
    <w:tmpl w:val="165C1A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721E0"/>
    <w:multiLevelType w:val="multilevel"/>
    <w:tmpl w:val="7E62F7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20"/>
  </w:num>
  <w:num w:numId="7">
    <w:abstractNumId w:val="15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36EA9"/>
    <w:rsid w:val="00436EA9"/>
    <w:rsid w:val="00A8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4864" TargetMode="External"/><Relationship Id="rId5" Type="http://schemas.openxmlformats.org/officeDocument/2006/relationships/hyperlink" Target="file:///C:\Users\User\Documents\view_sanadhoview.php%3fshowdetail=&amp;sanadID=438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3355</Words>
  <Characters>19124</Characters>
  <Application>Microsoft Office Word</Application>
  <DocSecurity>0</DocSecurity>
  <Lines>159</Lines>
  <Paragraphs>44</Paragraphs>
  <ScaleCrop>false</ScaleCrop>
  <Company/>
  <LinksUpToDate>false</LinksUpToDate>
  <CharactersWithSpaces>22435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2018-10-30T04:17:00Z</dcterms:created>
  <dcterms:modified xsi:type="dcterms:W3CDTF">2018-10-30T04:17:00Z</dcterms:modified>
</cp:coreProperties>
</file>