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7DCB">
      <w:pPr>
        <w:pStyle w:val="a3"/>
      </w:pPr>
      <w:r>
        <w:t> </w:t>
      </w:r>
    </w:p>
    <w:p w:rsidR="00000000" w:rsidRDefault="00F57DCB">
      <w:pPr>
        <w:pStyle w:val="a3"/>
        <w:jc w:val="right"/>
      </w:pPr>
      <w:r>
        <w:t>Утверждена</w:t>
      </w:r>
    </w:p>
    <w:p w:rsidR="00000000" w:rsidRDefault="00F57DCB">
      <w:pPr>
        <w:pStyle w:val="a3"/>
        <w:jc w:val="right"/>
      </w:pPr>
      <w:r>
        <w:t>постановлением Правительства</w:t>
      </w:r>
    </w:p>
    <w:p w:rsidR="00000000" w:rsidRDefault="00F57DCB">
      <w:pPr>
        <w:pStyle w:val="a3"/>
        <w:jc w:val="right"/>
      </w:pPr>
      <w:r>
        <w:t>Республики Таджикистан</w:t>
      </w:r>
    </w:p>
    <w:p w:rsidR="00000000" w:rsidRDefault="00F57DCB">
      <w:pPr>
        <w:pStyle w:val="a3"/>
        <w:jc w:val="right"/>
      </w:pPr>
      <w:hyperlink r:id="rId5" w:tgtFrame="_blank" w:history="1">
        <w:r>
          <w:rPr>
            <w:rStyle w:val="a4"/>
          </w:rPr>
          <w:t>от 4 октября 2013 года, №446</w:t>
        </w:r>
      </w:hyperlink>
    </w:p>
    <w:p w:rsidR="00000000" w:rsidRDefault="00F57DCB">
      <w:pPr>
        <w:pStyle w:val="a3"/>
      </w:pPr>
      <w:r>
        <w:t> </w:t>
      </w:r>
    </w:p>
    <w:p w:rsidR="00000000" w:rsidRDefault="00F57DCB">
      <w:pPr>
        <w:pStyle w:val="a3"/>
        <w:jc w:val="center"/>
      </w:pPr>
      <w:r>
        <w:rPr>
          <w:rStyle w:val="a6"/>
        </w:rPr>
        <w:t>КОНЦЕПЦИЯ РАЗВИТИЯ СИСТЕМЫ СОЦИАЛЬНОГО ОБСЛУЖИВАНИЯ В РЕСПУБЛИКЕ ТАДЖИКИСТАН</w:t>
      </w:r>
    </w:p>
    <w:p w:rsidR="00000000" w:rsidRDefault="00F57DCB">
      <w:pPr>
        <w:pStyle w:val="a3"/>
        <w:jc w:val="center"/>
      </w:pPr>
      <w:r>
        <w:t>(в редакции постановления Правительства РТ от 02.07.2015г. № 448)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Введение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Поступательное развитие системы социального обслуживания является стратегическим приоритетом социаль</w:t>
      </w:r>
      <w:r>
        <w:rPr>
          <w:rFonts w:eastAsia="Times New Roman"/>
        </w:rPr>
        <w:t>ной политики государства, направленной на конституционно гарантированную поддержку граждан, оказавшихся в трудной жизненной ситуации. Перспективы этого развития обозначены личными -инициативами и политическим курсом Президента Республики Таджикистан Эмомал</w:t>
      </w:r>
      <w:r>
        <w:rPr>
          <w:rFonts w:eastAsia="Times New Roman"/>
        </w:rPr>
        <w:t>и Рахмона, целью которого является "обеспечение устойчивого экономического и социального развития страны путем создания благоприятных условий жизни для каждого в обществе" (из Послания Президента Республики Таджикистан Эмомали Рахмона Маджлиси Оли Республи</w:t>
      </w:r>
      <w:r>
        <w:rPr>
          <w:rFonts w:eastAsia="Times New Roman"/>
        </w:rPr>
        <w:t>ки Таджикистан, 26.04.2013г.).</w:t>
      </w:r>
    </w:p>
    <w:p w:rsidR="00000000" w:rsidRDefault="00F57D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развития системы, социального обслуживания в Республике Таджикистан (далее - Концепция) определяет цели и приоритеты государственной политики социальной модернизации по созданию эффективной системы социального обслу</w:t>
      </w:r>
      <w:r>
        <w:rPr>
          <w:rFonts w:eastAsia="Times New Roman"/>
        </w:rPr>
        <w:t>живания населения, а также средства их достижения и пути поэтапной реализации.</w:t>
      </w:r>
    </w:p>
    <w:p w:rsidR="00000000" w:rsidRDefault="00F57D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основывается на Конституции Республики Таджикистан, разработана в соответствии с Законом Республики Таджикистан "О социальном обслуживании", другими нормативными право</w:t>
      </w:r>
      <w:r>
        <w:rPr>
          <w:rFonts w:eastAsia="Times New Roman"/>
        </w:rPr>
        <w:t>выми актами Республики Таджикистан в области социальной защиты населения, а также признанными Таджикистаном международно-правовыми актами и учитывая развитие совместных рекомендаций Европейской комиссии, Германского международного общества сотрудничества и</w:t>
      </w:r>
      <w:r>
        <w:rPr>
          <w:rFonts w:eastAsia="Times New Roman"/>
        </w:rPr>
        <w:t xml:space="preserve"> ЮНИСЕФ аккредитованные в Таджикистане.</w:t>
      </w:r>
    </w:p>
    <w:p w:rsidR="00000000" w:rsidRDefault="00F57DC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разработана на основе положений Национальной стратегии развития Республики Таджикистан.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Анализ ситуации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Современное состояние системы социального обслуживания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Социальные услуги предоставляют более десят</w:t>
      </w:r>
      <w:r>
        <w:rPr>
          <w:rFonts w:eastAsia="Times New Roman"/>
        </w:rPr>
        <w:t>ки организаций различных форм собственности, подавляющее количество которых - 70%относится к государственным.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 состоянию на 1 января 2013 года в системе Министерства труда и социальной защиты населения Республики Таджикистан функционировали и оказывают у</w:t>
      </w:r>
      <w:r>
        <w:rPr>
          <w:rFonts w:eastAsia="Times New Roman"/>
        </w:rPr>
        <w:t>слуги нуждающим 9 домов - интернатов для престарелых и инвалидов, 15 территориальных центров социального обслуживания и дневного пребывания, из которых 9 находятся в ведении того же Министерства, и 6 - местных исполнительных органов государственной власти.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ведении Министерства действуют 5 сезонных санаториев и пансионат для ветеранов войны и труда, профессиональный специальный лицей-интернат для инвалидов, унитарное предприятие "Протезно-ортопедический завод" и 2 научно-исследовательские государственные у</w:t>
      </w:r>
      <w:r>
        <w:rPr>
          <w:rFonts w:eastAsia="Times New Roman"/>
        </w:rPr>
        <w:t xml:space="preserve">чреждения. Кроме того, в 2012 году образованы Государственное учреждение "Учебно-практический комплекс социально-инновационной работы" и филиал Государственного учреждения "Специальный профессиональный лицей-интернат инвалидов" в Рушанском районе. Ведется </w:t>
      </w:r>
      <w:r>
        <w:rPr>
          <w:rFonts w:eastAsia="Times New Roman"/>
        </w:rPr>
        <w:t>строительство Госудаственного учреждения "Международный центр реабилитации" в Балджуванском районе и закончивается строительство "Дом - интернат для душевно больных" в Бохтарском районе.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2012 году учреждениями системы Министерства труда и социальной защи</w:t>
      </w:r>
      <w:r>
        <w:rPr>
          <w:rFonts w:eastAsia="Times New Roman"/>
        </w:rPr>
        <w:t>ты населения было предоставлено социальных услуг 28132 нуждающимся в том числе 1663 нуждающимся - на стационарной основе, 1802 нуждающимся - в территориальных центрах социального обслуживания и дневного пребывания.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Действуют 18 Кризисных и Ресурсных центров по оказанию социальных и медицинских услуг жертвам насилия, 2 из которыхКризисный центр "Бовари" и Центр самопознания женщин - функционируют, соответственно, при Комитете по делам женщин и семьи при Правительстве </w:t>
      </w:r>
      <w:r>
        <w:rPr>
          <w:rFonts w:eastAsia="Times New Roman"/>
        </w:rPr>
        <w:t>Республики Таджикистан и Местном исполнительном органе государственной власти в городе Душанбе, а остальные - на базе общественных объединений. В течение 2010-2011 годов центрами было оказано 16790 услуг.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целях разработки и внедрения эффективной модели и</w:t>
      </w:r>
      <w:r>
        <w:rPr>
          <w:rFonts w:eastAsia="Times New Roman"/>
        </w:rPr>
        <w:t>нклюзивного образования для детей с ограниченными возможностями, основанном на передовом международном опыте, Правительством Республики Таджикистан принята и реализуется соответствующая Национальная концепция (постановление Правительства Республики Таджики</w:t>
      </w:r>
      <w:r>
        <w:rPr>
          <w:rFonts w:eastAsia="Times New Roman"/>
        </w:rPr>
        <w:t>стан от 30 апреля 2011 года № 228).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соответствии данной Концепции Ресурсный центр инклюзивного образования, созданный в 2010 году, занимается подготовкой специалистов, работающих с детьми с ограниченными возможностями,дефектологов, логопедов, психологов.</w:t>
      </w:r>
      <w:r>
        <w:rPr>
          <w:rFonts w:eastAsia="Times New Roman"/>
        </w:rPr>
        <w:t xml:space="preserve"> Центром разработана и успешно внедряется программа учебно-оздоровительного лагеря смешанного типа, и в городе Душанбе функционируют коррекционные центры для детей, два детских сада с инклюзивными группами и две школы с инклюзивными классами.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Сеть специали</w:t>
      </w:r>
      <w:r>
        <w:rPr>
          <w:rFonts w:eastAsia="Times New Roman"/>
        </w:rPr>
        <w:t>зированных учреждений для детей представлена также двумя интернатами для детей с нарушением интеллекта, школойинтернатом для детей с нарушением опорно-двигательного аппарата, интернатом для детей с нарушениями зрения, школой-интернатом для глухих детей и и</w:t>
      </w:r>
      <w:r>
        <w:rPr>
          <w:rFonts w:eastAsia="Times New Roman"/>
        </w:rPr>
        <w:t>нтернатом для позднооглохших и слабослышащих детей. Кроме того, на территории Республиканской глазной больницы имеется школа-интернат, где обучаются дети до 5 класса, а также детский сад № 42 для детей с нарушениями зрения.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Для детей инвалидов или детей с </w:t>
      </w:r>
      <w:r>
        <w:rPr>
          <w:rFonts w:eastAsia="Times New Roman"/>
        </w:rPr>
        <w:t>ограниченными возможностями организованы Центры дневного пребывания в городах Душанбе, Худжанд, Хорог, Куляб и районах Гиссар и Восе. Имеются также постоянно действующие дома-интернаты для детей с умственной отсталостью в г. Пенджикенте, г. Яване и Дж.Расу</w:t>
      </w:r>
      <w:r>
        <w:rPr>
          <w:rFonts w:eastAsia="Times New Roman"/>
        </w:rPr>
        <w:t xml:space="preserve">ловском районах. При Национальном реабилитационном центре для детей и подростков "Чорбог" создан центр реабилитации детей с различными сложными патологиями, где высококвалифицированные специалисты в течение 16 дней обучают таких детей необходимым навыкам. </w:t>
      </w:r>
      <w:r>
        <w:rPr>
          <w:rFonts w:eastAsia="Times New Roman"/>
        </w:rPr>
        <w:t>В год в этом центре обслуживаются до 400 детей. В 2012 году начал функционировать такой же реабилитационный Центр на 20 мест в Балджуванском районе, который рассчитан на 150 мест и продолжается строительство данного центра.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систему социальной поддержки и</w:t>
      </w:r>
      <w:r>
        <w:rPr>
          <w:rFonts w:eastAsia="Times New Roman"/>
        </w:rPr>
        <w:t xml:space="preserve"> адаптации детей с ограниченными возможностями активно вовлекаются родительские общественные объединения. В 2007 году в городе Душанбе и областях были созданы Ассоциации родителей детей с ограниченными возможностями с целью предоставления информационных и </w:t>
      </w:r>
      <w:r>
        <w:rPr>
          <w:rFonts w:eastAsia="Times New Roman"/>
        </w:rPr>
        <w:t>правовых услуг родителям, имеющим таких детей.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Накоплен большой опыт в области деинституционализации. позволивший возвратить в родные семьи большое количество детей, ранее размещенных в стационарные учреждения.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стране функционируют находящиеся в ведении </w:t>
      </w:r>
      <w:r>
        <w:rPr>
          <w:rFonts w:eastAsia="Times New Roman"/>
        </w:rPr>
        <w:t>Министерства образования Республики Таджикистан 11 школ для детей с недостатками умственного или физического развития, которые оказывают образовательные услуги 1700 детям.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Детьям из семей оказавшихся в трудной жизненной ситуации оказывают обслуживание такж</w:t>
      </w:r>
      <w:r>
        <w:rPr>
          <w:rFonts w:eastAsia="Times New Roman"/>
        </w:rPr>
        <w:t>е стационарные учреждения системы министерств здравоохранения, внутренних дел, юстиции. В ведении местных исполнительных органов имеются также 38 отделов социального обслуживания на дому, в 2012 году предоставивших социальные услуги 5000 нуждающимся.</w:t>
      </w:r>
    </w:p>
    <w:p w:rsidR="00000000" w:rsidRDefault="00F57DC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Доля </w:t>
      </w:r>
      <w:r>
        <w:rPr>
          <w:rFonts w:eastAsia="Times New Roman"/>
        </w:rPr>
        <w:t>услуг неправительственных социальных служб в последные годы также растёт, что составляет в среднем 20 процентов всех оказанных услуг и по сравнению услуг учреждений временного пребывания 45-50 процентов.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Основные проблемы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Международно-правовые нормы и </w:t>
      </w:r>
      <w:r>
        <w:rPr>
          <w:rFonts w:eastAsia="Times New Roman"/>
        </w:rPr>
        <w:t>мировая теория и практика исходят из необходимости использования стационарных форм предоставления социальных услуг лишь в исключительных случаях, то есть когда альтернативные возможности исчерпаны. Альтернативой признаются услуги, оказываемые на дому, по м</w:t>
      </w:r>
      <w:r>
        <w:rPr>
          <w:rFonts w:eastAsia="Times New Roman"/>
        </w:rPr>
        <w:t>есту жительства и иные вспомогательные услуги на базе местного сообщества.</w:t>
      </w:r>
    </w:p>
    <w:p w:rsidR="00000000" w:rsidRDefault="00F57D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Тем не менее, количество и доля стационарных учреждений в предоставлении услуг сравнительно возрастает, в отраслевом законодательстве проявляется финансовые приоритеты, причина кото</w:t>
      </w:r>
      <w:r>
        <w:rPr>
          <w:rFonts w:eastAsia="Times New Roman"/>
        </w:rPr>
        <w:t>рых связана с все еще высоким уровнем бедности, ограниченностью сферы альтернативных услуг, отсутствием эффективных механизмов мониторинга замещающих услуг, традиционным восприятием населения предпочтительности стационарного обслуживания.</w:t>
      </w:r>
    </w:p>
    <w:p w:rsidR="00000000" w:rsidRDefault="00F57D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Согласно требован</w:t>
      </w:r>
      <w:r>
        <w:rPr>
          <w:rFonts w:eastAsia="Times New Roman"/>
        </w:rPr>
        <w:t>иям действующих положений подавляющее большинство стационарных учреждений приходится на долю услуг, предоставляемых престарелым, детям сирот и инвалидам, многие из которых имеют одного или двух родителей.</w:t>
      </w:r>
    </w:p>
    <w:p w:rsidR="00000000" w:rsidRDefault="00F57D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Действующая система социального обслуживания в Тадж</w:t>
      </w:r>
      <w:r>
        <w:rPr>
          <w:rFonts w:eastAsia="Times New Roman"/>
        </w:rPr>
        <w:t xml:space="preserve">икистане унаследовано на основе системы советского периода и постепенно в соответствии с требованиями нового законодательства сферы в него включены новые современные и инновационные элементы, в конечном счёте должна создаваться новая современная система с </w:t>
      </w:r>
      <w:r>
        <w:rPr>
          <w:rFonts w:eastAsia="Times New Roman"/>
        </w:rPr>
        <w:t>учётом национально-традиционных особенностей.</w:t>
      </w:r>
    </w:p>
    <w:p w:rsidR="00000000" w:rsidRDefault="00F57D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Стратегия перехода на современную модель социального обслуживания предполагает совершенствование действующего законодательства, реализацию новых инновационных методов, основанных на мировой практике, снижение у</w:t>
      </w:r>
      <w:r>
        <w:rPr>
          <w:rFonts w:eastAsia="Times New Roman"/>
        </w:rPr>
        <w:t>ровня бедности, равенство возможностей, а также обеспечивает привлечение использова гелей в общественную жизнь.</w:t>
      </w:r>
    </w:p>
    <w:p w:rsidR="00000000" w:rsidRDefault="00F57D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Таджикистане до настоящего времени потенциал институтов гражданского общества, вовлеченными в сферу социального обслуживания обслуживания, ост</w:t>
      </w:r>
      <w:r>
        <w:rPr>
          <w:rFonts w:eastAsia="Times New Roman"/>
        </w:rPr>
        <w:t>ается слабым. Причина кроется, прежде всего, в том что в законодательстве отрасли их обязанности конкретно не установлены. Поэтому у них отсутствует первоначальная материально-техническая база и достаточный квалифицированный персонал. Их функционирование р</w:t>
      </w:r>
      <w:r>
        <w:rPr>
          <w:rFonts w:eastAsia="Times New Roman"/>
        </w:rPr>
        <w:t>едко отличается стабильностью, поскольку, как правило, поставлена в зависимость от реализации ограниченных во времени программ грантовой поддержки.</w:t>
      </w:r>
    </w:p>
    <w:p w:rsidR="00000000" w:rsidRDefault="00F57D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Поскольку разработка классификации и стандартов социального обслуживания является самым необходимым условием</w:t>
      </w:r>
      <w:r>
        <w:rPr>
          <w:rFonts w:eastAsia="Times New Roman"/>
        </w:rPr>
        <w:t xml:space="preserve"> повышения качества, а значит и реформ системы предоставления социальных услуг в целом, решение этой задачи будет иметь определяющее значение, с учетом доработки отраслевого законодательства для перспектив развития сферы предоставления социальных услуг, об</w:t>
      </w:r>
      <w:r>
        <w:rPr>
          <w:rFonts w:eastAsia="Times New Roman"/>
        </w:rPr>
        <w:t>означенных настоящей Концепцией.</w:t>
      </w:r>
    </w:p>
    <w:p w:rsidR="00000000" w:rsidRDefault="00F57D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Эффективность системы социального обслуживания неразрывно связана с решением проблем подготовки и повышения квалификации специалистов социальной сферы. Предпринимаемые и наращиваемые в последние годы усилия в этом направлен</w:t>
      </w:r>
      <w:r>
        <w:rPr>
          <w:rFonts w:eastAsia="Times New Roman"/>
        </w:rPr>
        <w:t>ии, тем не менее, не достаточны и не позволяют рассчитывать на удовлетворение спроса на профессиональные, кадры в масштабах, необходимых для успешного развития отрасли Специальность социального работника в системе высшего профессионального образования введ</w:t>
      </w:r>
      <w:r>
        <w:rPr>
          <w:rFonts w:eastAsia="Times New Roman"/>
        </w:rPr>
        <w:t>ена лишь недавно. Что касается учреждений среднего профессионального образования, то подготовка в них таких специалистов вообще не предусмотрена.</w:t>
      </w:r>
    </w:p>
    <w:p w:rsidR="00000000" w:rsidRDefault="00F57D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Неэффективность системы социального обслуживания связана также с несовершенством административно-территориальн</w:t>
      </w:r>
      <w:r>
        <w:rPr>
          <w:rFonts w:eastAsia="Times New Roman"/>
        </w:rPr>
        <w:t>ого управления, что проявляется в слабом потенциале развития местных органов, в том числе органов самоуправления, недостаточном уровне финансовой децентрализации. Дальнейшее развитие системы социального обслуживания обусловлено решением этой проблемы в рам</w:t>
      </w:r>
      <w:r>
        <w:rPr>
          <w:rFonts w:eastAsia="Times New Roman"/>
        </w:rPr>
        <w:t>ках Стратегии реформирования системы государственного управления Республики Таджикистан (утверждена Указом Президента Республики Таджикистан от 15 марта 2006 г. № 1713) и Стратегии управления государственными финансами Республики Таджикистан на 2009-2018 г</w:t>
      </w:r>
      <w:r>
        <w:rPr>
          <w:rFonts w:eastAsia="Times New Roman"/>
        </w:rPr>
        <w:t>оды (утверждена Указом Президента Республики Таджикистан от 20 марта 2009 года № 639).</w:t>
      </w:r>
    </w:p>
    <w:p w:rsidR="00000000" w:rsidRDefault="00F57DC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Среди других факторов, препятствующих развитию системы социального обслуживания, наиболее выделяются следующие:</w:t>
      </w:r>
    </w:p>
    <w:p w:rsidR="00000000" w:rsidRDefault="00F57DCB">
      <w:pPr>
        <w:pStyle w:val="a3"/>
      </w:pPr>
      <w:r>
        <w:t>- несовершенство методов сбора, анализа и использования с</w:t>
      </w:r>
      <w:r>
        <w:t>татистических данных и результатов социологических исследований. которое наряду с устоявшимся заявительным способом предоставления социальных услуг не дает возможность оценить реальные масштабы социальных рисков, реальное количество нуждающихся в социально</w:t>
      </w:r>
      <w:r>
        <w:t>м обслуживании лиц, численность которых, особенно детей-инвалидов по разным оценкам намного превышает данные официальной статистики;</w:t>
      </w:r>
    </w:p>
    <w:p w:rsidR="00000000" w:rsidRDefault="00F57DCB">
      <w:pPr>
        <w:pStyle w:val="a3"/>
      </w:pPr>
      <w:r>
        <w:t>- отсутствие планирования и прогнозирования тенденций и динамики спроса и предложения на социальные услуги:</w:t>
      </w:r>
    </w:p>
    <w:p w:rsidR="00000000" w:rsidRDefault="00F57DCB">
      <w:pPr>
        <w:pStyle w:val="a3"/>
      </w:pPr>
      <w:r>
        <w:t>- недостаточность законодательных основ и финансовых ресурсов на уровне местности не позволяет оказывать населению социальные услуги высокого качества в необходимом объеме, затрудняет управление отраслью, ее мониторинг и укомплектование квалифицированным к</w:t>
      </w:r>
      <w:r>
        <w:t>адровым составом;</w:t>
      </w:r>
    </w:p>
    <w:p w:rsidR="00000000" w:rsidRDefault="00F57DCB">
      <w:pPr>
        <w:pStyle w:val="a3"/>
      </w:pPr>
      <w:r>
        <w:t>- неудовлетворительные темпы перехода от патерналистской модели к эффективной адресной системе и продолжающееся преобладание тенденции наращивания социальных расходов в совокупных расходах бюджета вместо более эффективной политики направл</w:t>
      </w:r>
      <w:r>
        <w:t>енной на повышение адресности и результативности социальных программ;</w:t>
      </w:r>
    </w:p>
    <w:p w:rsidR="00000000" w:rsidRDefault="00F57DCB">
      <w:pPr>
        <w:pStyle w:val="a3"/>
      </w:pPr>
      <w:r>
        <w:t>- несовершенство системы управления и администрирования функций в процессе предоставления услуг, отсутствие координации между органами центрального, местного и общественного управления с</w:t>
      </w:r>
      <w:r>
        <w:t>феры социального обслуживания;</w:t>
      </w:r>
    </w:p>
    <w:p w:rsidR="00000000" w:rsidRDefault="00F57DCB">
      <w:pPr>
        <w:pStyle w:val="a3"/>
      </w:pPr>
      <w:r>
        <w:t>- недостаточное материально-техническое, научно-методическое и кадровое обеспечение деятельности учреждений социального обслуживания;</w:t>
      </w:r>
    </w:p>
    <w:p w:rsidR="00000000" w:rsidRDefault="00F57DCB">
      <w:pPr>
        <w:pStyle w:val="a3"/>
      </w:pPr>
      <w:r>
        <w:t>- ограниченность финансирования из местного бюджета;</w:t>
      </w:r>
    </w:p>
    <w:p w:rsidR="00000000" w:rsidRDefault="00F57DCB">
      <w:pPr>
        <w:pStyle w:val="a3"/>
      </w:pPr>
      <w:r>
        <w:t>- отсутствие единой информационной инс</w:t>
      </w:r>
      <w:r>
        <w:t>титуциональной  сбора, хранения, обработки, передачи и использования данных (в редакции постановления Правительства РТ от 02.07.2015г. № 448).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Основные факторы, формирующие спрос на социальные услуги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Анализ социально-демографических, социальномедико-пс</w:t>
      </w:r>
      <w:r>
        <w:rPr>
          <w:rFonts w:eastAsia="Times New Roman"/>
        </w:rPr>
        <w:t>ихологических, производственно-экономических, социально-трудовых и иных факторов, влияющих на возникновение трудных жизненных ситуаций, свидетельствует о повышенном спросе на социальные услуги.</w:t>
      </w:r>
    </w:p>
    <w:p w:rsidR="00000000" w:rsidRDefault="00F57DCB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Статистические данные указывает на то, что величина спроса на </w:t>
      </w:r>
      <w:r>
        <w:rPr>
          <w:rFonts w:eastAsia="Times New Roman"/>
        </w:rPr>
        <w:t>социальные услуги, его структура и динамика будут складываться в основном за счет изменения социально - трудовых показателей, уровень которых невысок, а также непредвиденных ситуаций которые связаны с группами социального риска Согласно законодательству Ре</w:t>
      </w:r>
      <w:r>
        <w:rPr>
          <w:rFonts w:eastAsia="Times New Roman"/>
        </w:rPr>
        <w:t>спублики Таджикистан к социально-уязвимым случаям относятся:</w:t>
      </w:r>
    </w:p>
    <w:p w:rsidR="00000000" w:rsidRDefault="00F57DCB">
      <w:pPr>
        <w:pStyle w:val="a3"/>
      </w:pPr>
      <w:r>
        <w:t>а) инвалидность;</w:t>
      </w:r>
    </w:p>
    <w:p w:rsidR="00000000" w:rsidRDefault="00F57DCB">
      <w:pPr>
        <w:pStyle w:val="a3"/>
      </w:pPr>
      <w:r>
        <w:t>б) преклонный возраст (старость);</w:t>
      </w:r>
    </w:p>
    <w:p w:rsidR="00000000" w:rsidRDefault="00F57DCB">
      <w:pPr>
        <w:pStyle w:val="a3"/>
      </w:pPr>
      <w:r>
        <w:t>в) болезнь, последствия производственной травмы и профессионального заболевания;</w:t>
      </w:r>
    </w:p>
    <w:p w:rsidR="00000000" w:rsidRDefault="00F57DCB">
      <w:pPr>
        <w:pStyle w:val="a3"/>
      </w:pPr>
      <w:r>
        <w:t>г) утрата попечительства, сиротство, бесконтрольность, одиночес</w:t>
      </w:r>
      <w:r>
        <w:t>тво;</w:t>
      </w:r>
    </w:p>
    <w:p w:rsidR="00000000" w:rsidRDefault="00F57DCB">
      <w:pPr>
        <w:pStyle w:val="a3"/>
      </w:pPr>
      <w:r>
        <w:t>д) устойчивая психическая зависимость, последствия насилия или ситуаций, связанных с риском для жизни;</w:t>
      </w:r>
    </w:p>
    <w:p w:rsidR="00000000" w:rsidRDefault="00F57DCB">
      <w:pPr>
        <w:pStyle w:val="a3"/>
      </w:pPr>
      <w:r>
        <w:t>е) иные трудные жизненные ситуации, остутствие определенного места жительства.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Цели и основные принципы развития системы социального обслуживания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Главной целью развития системы социального обслуживания является развитие человеческого капитала за счет создания равных возможностей равного участия всех граждан в общественной жизни через формирование безбарьерной среды жизнедеятельности для лиц, наход</w:t>
      </w:r>
      <w:r>
        <w:rPr>
          <w:rFonts w:eastAsia="Times New Roman"/>
        </w:rPr>
        <w:t>ящихся в трудной жизненной ситуации.</w:t>
      </w:r>
    </w:p>
    <w:p w:rsidR="00000000" w:rsidRDefault="00F57DCB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связи с этим Концепция развития системы социального обслуживания ориентирована на повышение уровня и качества жизни граждан, нуждающихся в социальной поддержке, а также улучшение благосостояния, развитие действующей с</w:t>
      </w:r>
      <w:r>
        <w:rPr>
          <w:rFonts w:eastAsia="Times New Roman"/>
        </w:rPr>
        <w:t>истемы социальных услуг.</w:t>
      </w:r>
    </w:p>
    <w:p w:rsidR="00000000" w:rsidRDefault="00F57DCB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системы социального обслуживания основывается на:</w:t>
      </w:r>
    </w:p>
    <w:p w:rsidR="00000000" w:rsidRDefault="00F57DCB">
      <w:pPr>
        <w:pStyle w:val="a3"/>
      </w:pPr>
      <w:r>
        <w:t>- необходимости обеспечения соблюдения принципов социальных услуг, таких как равные, региональные, добровольные принципы, предусмотренных Законом Республики Таджикистан "О социальном обслуживании";</w:t>
      </w:r>
    </w:p>
    <w:p w:rsidR="00000000" w:rsidRDefault="00F57DCB">
      <w:pPr>
        <w:pStyle w:val="a3"/>
      </w:pPr>
      <w:r>
        <w:t>- других принципах, предусмотренных отраслевыми законами и</w:t>
      </w:r>
      <w:r>
        <w:t xml:space="preserve"> международными актами.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Приоритеты и основные задачи развития системы социального обслуживания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Приоритетами и основными задачами развития системы социального обслуживания являются:</w:t>
      </w:r>
    </w:p>
    <w:p w:rsidR="00000000" w:rsidRDefault="00F57DCB">
      <w:pPr>
        <w:pStyle w:val="a3"/>
      </w:pPr>
      <w:r>
        <w:t>а) улучшение качества предоставления социальных услуг:</w:t>
      </w:r>
    </w:p>
    <w:p w:rsidR="00000000" w:rsidRDefault="00F57DCB">
      <w:pPr>
        <w:pStyle w:val="a3"/>
      </w:pPr>
      <w:r>
        <w:t>- стандартизация</w:t>
      </w:r>
      <w:r>
        <w:t xml:space="preserve"> социальных услуг и формирование независимой системы мониторинга качества услуг с элементами общественного контроля;</w:t>
      </w:r>
    </w:p>
    <w:p w:rsidR="00000000" w:rsidRDefault="00F57DCB">
      <w:pPr>
        <w:pStyle w:val="a3"/>
      </w:pPr>
      <w:r>
        <w:t>- внедрение новых, современных, эффективных форм социального обслуживания;</w:t>
      </w:r>
    </w:p>
    <w:p w:rsidR="00000000" w:rsidRDefault="00F57DCB">
      <w:pPr>
        <w:pStyle w:val="a3"/>
      </w:pPr>
      <w:r>
        <w:t>- профессионализация социальной работы путем создания многоуровн</w:t>
      </w:r>
      <w:r>
        <w:t>евой системы подготовки и повышения квалификации социальных работников;</w:t>
      </w:r>
    </w:p>
    <w:p w:rsidR="00000000" w:rsidRDefault="00F57DCB">
      <w:pPr>
        <w:pStyle w:val="a3"/>
      </w:pPr>
      <w:r>
        <w:t>- внедрение системы аккредитации организаций, предоставляющих социальные услуги, исключающей коррупционные и иные бюрократические риски;</w:t>
      </w:r>
    </w:p>
    <w:p w:rsidR="00000000" w:rsidRDefault="00F57DCB">
      <w:pPr>
        <w:pStyle w:val="a3"/>
      </w:pPr>
      <w:r>
        <w:t>- обеспечение социальных гарантий и создание на</w:t>
      </w:r>
      <w:r>
        <w:t>длежащих условий труда для социальных работников;</w:t>
      </w:r>
    </w:p>
    <w:p w:rsidR="00000000" w:rsidRDefault="00F57DCB">
      <w:pPr>
        <w:pStyle w:val="a3"/>
      </w:pPr>
      <w:r>
        <w:t>- укрепление материально-технической базы социальных служб.</w:t>
      </w:r>
    </w:p>
    <w:p w:rsidR="00000000" w:rsidRDefault="00F57DCB">
      <w:pPr>
        <w:pStyle w:val="a3"/>
      </w:pPr>
      <w:r>
        <w:t>б) развитие институциональной сферы социального обслуживания (в редакции постановления Правительства РТ от 02.07.2015г. № 448):</w:t>
      </w:r>
    </w:p>
    <w:p w:rsidR="00000000" w:rsidRDefault="00F57DCB">
      <w:pPr>
        <w:pStyle w:val="a3"/>
      </w:pPr>
      <w:r>
        <w:t xml:space="preserve">- расширение сети </w:t>
      </w:r>
      <w:r>
        <w:t>социальных служб, включая как специализированных так и многопрофильных, в целях обеспечения равного доступа к социальным услугам нуждающихся лиц, проживающих в городской и сельской местности;</w:t>
      </w:r>
    </w:p>
    <w:p w:rsidR="00000000" w:rsidRDefault="00F57DCB">
      <w:pPr>
        <w:pStyle w:val="a3"/>
      </w:pPr>
      <w:r>
        <w:t>- расширение сети социальных служб, специализирующихся, прежде в</w:t>
      </w:r>
      <w:r>
        <w:t>сего, на социальном обслуживании лиц, наиболее нуждающихся, включая приоритетное развитие системы социального обслуживания семьи, обеспечивающей сохранение ребенка в семье, создание благоприятных условий для комплексного развития и жизнедеятельности детей,</w:t>
      </w:r>
      <w:r>
        <w:t xml:space="preserve"> попавших в трудную жизненную ситуацию;</w:t>
      </w:r>
    </w:p>
    <w:p w:rsidR="00000000" w:rsidRDefault="00F57DCB">
      <w:pPr>
        <w:pStyle w:val="a3"/>
      </w:pPr>
      <w:r>
        <w:t>- развитие системы нестационарного социального обслуживания и формирование её альтернативных форм;</w:t>
      </w:r>
    </w:p>
    <w:p w:rsidR="00000000" w:rsidRDefault="00F57DCB">
      <w:pPr>
        <w:pStyle w:val="a3"/>
      </w:pPr>
      <w:r>
        <w:t>- развитие системы координации и интеграции социального обслуживания, основанной наряду с прочими способами на модель</w:t>
      </w:r>
      <w:r>
        <w:t xml:space="preserve"> "Единого окна";</w:t>
      </w:r>
    </w:p>
    <w:p w:rsidR="00000000" w:rsidRDefault="00F57DCB">
      <w:pPr>
        <w:pStyle w:val="a3"/>
      </w:pPr>
      <w:r>
        <w:t>- разработка и внедрение централизованной информационной системы социального обслуживания;</w:t>
      </w:r>
    </w:p>
    <w:p w:rsidR="00000000" w:rsidRDefault="00F57DCB">
      <w:pPr>
        <w:pStyle w:val="a3"/>
      </w:pPr>
      <w:r>
        <w:t>в) формирование социальных рынков и расширение нетрадиционного и неправительственного сектора социального обслуживания:</w:t>
      </w:r>
    </w:p>
    <w:p w:rsidR="00000000" w:rsidRDefault="00F57DCB">
      <w:pPr>
        <w:pStyle w:val="a3"/>
      </w:pPr>
      <w:r>
        <w:t>- формирование конкурентоспо</w:t>
      </w:r>
      <w:r>
        <w:t>собного и развитого сектора альтернативных поставщиков социальных услуг - коммерческих и некоммерческих организаций - с помощью государственных мер поддержки, в том числе через развитие практики государственного социального заказа и создание равных конкуре</w:t>
      </w:r>
      <w:r>
        <w:t>нтных условий на рынке социальных услуг;</w:t>
      </w:r>
    </w:p>
    <w:p w:rsidR="00000000" w:rsidRDefault="00F57DCB">
      <w:pPr>
        <w:pStyle w:val="a3"/>
      </w:pPr>
      <w:r>
        <w:t>- повышение заинтересованности государственных органов в привлечении частного и общественного секторов в сферу социального обслуживания.</w:t>
      </w:r>
    </w:p>
    <w:p w:rsidR="00000000" w:rsidRDefault="00F57DCB">
      <w:pPr>
        <w:pStyle w:val="a3"/>
      </w:pPr>
      <w:r>
        <w:t>г) обеспечение, динамичного и устойчивого развития системы социального обслужи</w:t>
      </w:r>
      <w:r>
        <w:t>вания:</w:t>
      </w:r>
    </w:p>
    <w:p w:rsidR="00000000" w:rsidRDefault="00F57DCB">
      <w:pPr>
        <w:pStyle w:val="a3"/>
      </w:pPr>
      <w:r>
        <w:t>- создание условий многоканального финансирования путем стимулирования привлечения внебюджетных средств, в том числе физических лиц и предпринимателей;</w:t>
      </w:r>
    </w:p>
    <w:p w:rsidR="00000000" w:rsidRDefault="00F57DCB">
      <w:pPr>
        <w:pStyle w:val="a3"/>
      </w:pPr>
      <w:r>
        <w:t>- рациональное использование финансовых и материальных ресурсов, в том числе путем создания систе</w:t>
      </w:r>
      <w:r>
        <w:t>мы опенки эффективности расходования бюджетных средств на социальное обслуживание;</w:t>
      </w:r>
    </w:p>
    <w:p w:rsidR="00000000" w:rsidRDefault="00F57DCB">
      <w:pPr>
        <w:pStyle w:val="a3"/>
      </w:pPr>
      <w:r>
        <w:t>- разработка и внедрение оптимальной модели финансовой децентрализации;</w:t>
      </w:r>
    </w:p>
    <w:p w:rsidR="00000000" w:rsidRDefault="00F57DCB">
      <w:pPr>
        <w:pStyle w:val="a3"/>
      </w:pPr>
      <w:r>
        <w:t>- стимулирование инновационной деятельности;</w:t>
      </w:r>
    </w:p>
    <w:p w:rsidR="00000000" w:rsidRDefault="00F57DCB">
      <w:pPr>
        <w:pStyle w:val="a3"/>
      </w:pPr>
      <w:r>
        <w:t>- совершенствование управления системой социального обслуживания, в том числе путем оптимизации межведомственной и территориальной координации и взаимодействия;</w:t>
      </w:r>
    </w:p>
    <w:p w:rsidR="00000000" w:rsidRDefault="00F57DCB">
      <w:pPr>
        <w:pStyle w:val="a3"/>
      </w:pPr>
      <w:r>
        <w:t>- создание эффективной системы управления различными сферами социальной защиты детей, оказавших</w:t>
      </w:r>
      <w:r>
        <w:t>ся в трудной жизненной ситуации, вертикально интегрированной структурой центрального и территориальных органов по правам ребенка, а также единым уполномоченным государственным органом в сфере социального обслуживания, наделенным контрольно-координационными</w:t>
      </w:r>
      <w:r>
        <w:t xml:space="preserve"> полномочиями.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Основные направления развития системы социального обслуживания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Система социального обслуживания нуждается в реструктуризации и прогнозировании что, в свою очередь, предусматривает следующие меры:</w:t>
      </w:r>
    </w:p>
    <w:p w:rsidR="00000000" w:rsidRDefault="00F57DCB">
      <w:pPr>
        <w:pStyle w:val="a3"/>
      </w:pPr>
      <w:r>
        <w:t>- распределение и классификация социальны</w:t>
      </w:r>
      <w:r>
        <w:t>х служб в соответствии с характером социально-экономической ситуации регионов и их потребностью в социальном обслуживании;</w:t>
      </w:r>
    </w:p>
    <w:p w:rsidR="00000000" w:rsidRDefault="00F57DCB">
      <w:pPr>
        <w:pStyle w:val="a3"/>
      </w:pPr>
      <w:r>
        <w:t>- воплощение в жизнь системизации и стандартов предоставляемых социальных услуг и сети социальных служб с целью все большего охвата н</w:t>
      </w:r>
      <w:r>
        <w:t>уждающихся, особенно женщинь и жителей села;</w:t>
      </w:r>
    </w:p>
    <w:p w:rsidR="00000000" w:rsidRDefault="00F57DCB">
      <w:pPr>
        <w:pStyle w:val="a3"/>
      </w:pPr>
      <w:r>
        <w:t>- сокращение числа специализированных социальных учреждений путем их замены многофункциональными центрами социального обслуживания;</w:t>
      </w:r>
    </w:p>
    <w:p w:rsidR="00000000" w:rsidRDefault="00F57DCB">
      <w:pPr>
        <w:pStyle w:val="a3"/>
      </w:pPr>
      <w:r>
        <w:t>- сочетание и взаимодействие разных типов учреждений;</w:t>
      </w:r>
    </w:p>
    <w:p w:rsidR="00000000" w:rsidRDefault="00F57DCB">
      <w:pPr>
        <w:pStyle w:val="a3"/>
      </w:pPr>
      <w:r>
        <w:t>- оказание содействия раз</w:t>
      </w:r>
      <w:r>
        <w:t>витию негосударственного сектора системы социального обслуживания.</w:t>
      </w:r>
    </w:p>
    <w:p w:rsidR="00000000" w:rsidRDefault="00F57DCB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системы социального обслуживания зависит от дальнейших административных реформ:</w:t>
      </w:r>
    </w:p>
    <w:p w:rsidR="00000000" w:rsidRDefault="00F57DCB">
      <w:pPr>
        <w:pStyle w:val="a3"/>
      </w:pPr>
      <w:r>
        <w:t xml:space="preserve">- ориентированных на определение и установление оптимального уровня и соотношения децентрализации и </w:t>
      </w:r>
      <w:r>
        <w:t>деконцентрации властноуправленческих функций по предоставлению социальных услуг;</w:t>
      </w:r>
    </w:p>
    <w:p w:rsidR="00000000" w:rsidRDefault="00F57DCB">
      <w:pPr>
        <w:pStyle w:val="a3"/>
      </w:pPr>
      <w:r>
        <w:t>- устраняющих ведомственную разобщенность, причем не только на уровне министерств и ведомств, но и между центральными и территориальными органами управления путем создания эфф</w:t>
      </w:r>
      <w:r>
        <w:t>ективного механизма координации и взаимодействия;</w:t>
      </w:r>
    </w:p>
    <w:p w:rsidR="00000000" w:rsidRDefault="00F57DCB">
      <w:pPr>
        <w:pStyle w:val="a3"/>
      </w:pPr>
      <w:r>
        <w:t>- ориентированных на внедрение современных форм управления благоприятствующих менеджменту социальной сферы базирующихся на инициативность и использование инновационных методов деятельности сферой, поощряющи</w:t>
      </w:r>
      <w:r>
        <w:t>х инициативу и инновационноые подходы в предоставление социальных улуг.</w:t>
      </w:r>
    </w:p>
    <w:p w:rsidR="00000000" w:rsidRDefault="00F57DCB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Реструктуризация системы государственного управления (менеджмент) социального обслуживания населения осуществляется в зависимости от оценки стоимости предоставления социальных услуг, ч</w:t>
      </w:r>
      <w:r>
        <w:rPr>
          <w:rFonts w:eastAsia="Times New Roman"/>
        </w:rPr>
        <w:t>то позволит отказаться от социально и экономически неэффективных учреждений.</w:t>
      </w:r>
    </w:p>
    <w:p w:rsidR="00000000" w:rsidRDefault="00F57DCB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Реструктуризация и создание единой автоматизированной системы и механизма "Единое окно" преследует целью выполнение следующих задач:</w:t>
      </w:r>
    </w:p>
    <w:p w:rsidR="00000000" w:rsidRDefault="00F57DCB">
      <w:pPr>
        <w:pStyle w:val="a3"/>
      </w:pPr>
      <w:r>
        <w:t xml:space="preserve">- персонального учета нуждающихся граждан для </w:t>
      </w:r>
      <w:r>
        <w:t>предоставления им социальных услуг на комплексной, адресной и дифференцированной основе; - упрощающей доступ граждан к социальной инфраструктуре;</w:t>
      </w:r>
    </w:p>
    <w:p w:rsidR="00000000" w:rsidRDefault="00F57DCB">
      <w:pPr>
        <w:pStyle w:val="a3"/>
      </w:pPr>
      <w:r>
        <w:t>- предоставления социальных услуг гражданам, находящимся в трудной жизненной ситуации;</w:t>
      </w:r>
    </w:p>
    <w:p w:rsidR="00000000" w:rsidRDefault="00F57DCB">
      <w:pPr>
        <w:pStyle w:val="a3"/>
      </w:pPr>
      <w:r>
        <w:t>- мониторинга эффективн</w:t>
      </w:r>
      <w:r>
        <w:t>ости социального обслуживания как со стороны социальных служб и государственных органов, так и граждан и гражданского общества;</w:t>
      </w:r>
    </w:p>
    <w:p w:rsidR="00000000" w:rsidRDefault="00F57DCB">
      <w:pPr>
        <w:pStyle w:val="a3"/>
      </w:pPr>
      <w:r>
        <w:t>- обеспечивающей координацию и взаимодействие социальных служб независимо от ведомственной, территориальной или иной принадлежно</w:t>
      </w:r>
      <w:r>
        <w:t>сти.</w:t>
      </w:r>
    </w:p>
    <w:p w:rsidR="00000000" w:rsidRDefault="00F57DCB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Создание многопрофильных центров, предоставляющих комплексные услуги нуждающимся гражданам на основе модели "Единого окна", входит в число основных и приоритетных направлений развития системы социального обслуживания.</w:t>
      </w:r>
    </w:p>
    <w:p w:rsidR="00000000" w:rsidRDefault="00F57DCB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Заслуживает внимания опыт стран с относительно схожими с Таджикистаном условиями реформ, который подтверждает предпочтительность следующих приоритетов внедрения модели "Единого окна":</w:t>
      </w:r>
    </w:p>
    <w:p w:rsidR="00000000" w:rsidRDefault="00F57DCB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Условием максимальной эффективности использования модели является концен</w:t>
      </w:r>
      <w:r>
        <w:rPr>
          <w:rFonts w:eastAsia="Times New Roman"/>
        </w:rPr>
        <w:t>трация, всех возможных элементов социальной защиты, включая максимально возможное количество социальных услуг, назначаемых и/или предоставляемых в одном месте независимо от вида, назначения и ведомственного управления.</w:t>
      </w:r>
    </w:p>
    <w:p w:rsidR="00000000" w:rsidRDefault="00F57DCB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Улучшение качества и доступности соци</w:t>
      </w:r>
      <w:r>
        <w:rPr>
          <w:rFonts w:eastAsia="Times New Roman"/>
        </w:rPr>
        <w:t>альных услуг, внедрение эффективной системы мониторинга и оценки их предоставления, оптимизация финансирования системы социального обслуживания диктуют необходимость совершенствования государственно-общественного партнерства.</w:t>
      </w:r>
    </w:p>
    <w:p w:rsidR="00000000" w:rsidRDefault="00F57DCB">
      <w:pPr>
        <w:numPr>
          <w:ilvl w:val="0"/>
          <w:numId w:val="1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Данное направление предусматри</w:t>
      </w:r>
      <w:r>
        <w:rPr>
          <w:rFonts w:eastAsia="Times New Roman"/>
        </w:rPr>
        <w:t>вает решение двух взаимосвязанных задач:</w:t>
      </w:r>
    </w:p>
    <w:p w:rsidR="00000000" w:rsidRDefault="00F57DCB">
      <w:pPr>
        <w:pStyle w:val="a3"/>
      </w:pPr>
      <w:r>
        <w:t>а) поддержка гражданских инициатив, привитие и совершенствование у граждан и неправительственных организаций умений и навыков самоуправления, необходимых для осуществления социального обслуживания;</w:t>
      </w:r>
    </w:p>
    <w:p w:rsidR="00000000" w:rsidRDefault="00F57DCB">
      <w:pPr>
        <w:pStyle w:val="a3"/>
      </w:pPr>
      <w:r>
        <w:t>б) расширение дос</w:t>
      </w:r>
      <w:r>
        <w:t>тупа некоммерческих и неправитеьственных организаций к рынку социальных услуг, путём привлечения неправитеьственных организаций и разработке спецификаций и стандартов предоставления и контролыо над качеством услуги.</w:t>
      </w:r>
    </w:p>
    <w:p w:rsidR="00000000" w:rsidRDefault="00F57DCB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Дальнейшее развитие системы социального </w:t>
      </w:r>
      <w:r>
        <w:rPr>
          <w:rFonts w:eastAsia="Times New Roman"/>
        </w:rPr>
        <w:t xml:space="preserve">обслуживания зависит также от эффективного функционирования механизма государственно-частного партнерства (ГЧП). Этот механизм должен стать одним из эффективных инструментов реализации социальной политики, позволяющей снизить нагрузки на бюджет, сократить </w:t>
      </w:r>
      <w:r>
        <w:rPr>
          <w:rFonts w:eastAsia="Times New Roman"/>
        </w:rPr>
        <w:t>государственные риски, связанные с финансированием.</w:t>
      </w:r>
    </w:p>
    <w:p w:rsidR="00000000" w:rsidRDefault="00F57DCB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создания благоприятных условий, взаимовыгодного государственно-общественного и государственно-частного партнерства усилия должны быть сосредоточены в следующих направлениях:</w:t>
      </w:r>
    </w:p>
    <w:p w:rsidR="00000000" w:rsidRDefault="00F57DCB">
      <w:pPr>
        <w:pStyle w:val="a3"/>
      </w:pPr>
      <w:r>
        <w:t>- дальнейшее совершенствов</w:t>
      </w:r>
      <w:r>
        <w:t>ание мер государственной поддержки инвестиционной активности, прежде всего в сфере социальных инноваций;</w:t>
      </w:r>
    </w:p>
    <w:p w:rsidR="00000000" w:rsidRDefault="00F57DCB">
      <w:pPr>
        <w:pStyle w:val="a3"/>
      </w:pPr>
      <w:r>
        <w:t>- повышение конкуренции (обеспечение реального и эффективного функционирования не только новых, но и в первую очередь уже имеющихся механизмов, ориенти</w:t>
      </w:r>
      <w:r>
        <w:t>рованных на создание равных и прозрачных конкурентных условий доступа на рынок социальных услуг и контроля над проведением торгов);</w:t>
      </w:r>
    </w:p>
    <w:p w:rsidR="00000000" w:rsidRDefault="00F57DCB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Обеспечение стабильности спроса на товары и услуги, поставляемые в рамках государственного социального заказа.</w:t>
      </w:r>
    </w:p>
    <w:p w:rsidR="00000000" w:rsidRDefault="00F57DCB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Развитие сист</w:t>
      </w:r>
      <w:r>
        <w:rPr>
          <w:rFonts w:eastAsia="Times New Roman"/>
        </w:rPr>
        <w:t>емы социального обслуживания требует разработку основных направлений в зависимости от особенностей социальной работы с отдельными группами лиц, которые в соответствии с действующим законодательством имеют право на обслуживание.</w:t>
      </w:r>
    </w:p>
    <w:p w:rsidR="00000000" w:rsidRDefault="00F57DCB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Условием успешного развития </w:t>
      </w:r>
      <w:r>
        <w:rPr>
          <w:rFonts w:eastAsia="Times New Roman"/>
        </w:rPr>
        <w:t>системы социального обслуживания является принятие следующих мер:</w:t>
      </w:r>
    </w:p>
    <w:p w:rsidR="00000000" w:rsidRDefault="00F57DCB">
      <w:pPr>
        <w:pStyle w:val="a3"/>
      </w:pPr>
      <w:r>
        <w:t>а) в сфере законодательства:</w:t>
      </w:r>
    </w:p>
    <w:p w:rsidR="00000000" w:rsidRDefault="00F57DCB">
      <w:pPr>
        <w:pStyle w:val="a3"/>
      </w:pPr>
      <w:r>
        <w:t>- внесение изменений и дополнений в действующие нормативные правовые акты с целью приведения их в соответствие с существующими реалиями и международными обязател</w:t>
      </w:r>
      <w:r>
        <w:t>ьствами страны;</w:t>
      </w:r>
    </w:p>
    <w:p w:rsidR="00000000" w:rsidRDefault="00F57DCB">
      <w:pPr>
        <w:pStyle w:val="a3"/>
      </w:pPr>
      <w:r>
        <w:t>- принятие предусмотренных законодательством подзаконных актов и других нормативных правовых актов отрасли, комментарии отдельных статей действующих законодательств в целях обеспечения своевременного их исполнения, а также доступность насел</w:t>
      </w:r>
      <w:r>
        <w:t>ения к требованиям законов;</w:t>
      </w:r>
    </w:p>
    <w:p w:rsidR="00000000" w:rsidRDefault="00F57DCB">
      <w:pPr>
        <w:pStyle w:val="a3"/>
      </w:pPr>
      <w:r>
        <w:t>- рассмотрение международных нормативно правовых актов и соответствие законодательств Республики Таджикистан к их требованиям, постепенное присоединения Республики Таджикистан к Конвенции по правам инвалидов и другие международн</w:t>
      </w:r>
      <w:r>
        <w:t>ые правовые акты в сфере социальной зашиты;</w:t>
      </w:r>
    </w:p>
    <w:p w:rsidR="00000000" w:rsidRDefault="00F57DCB">
      <w:pPr>
        <w:pStyle w:val="a3"/>
      </w:pPr>
      <w:r>
        <w:t>- систематизация законодательства и издание сборников нормативных правовых актов в сфере социальной защиты;</w:t>
      </w:r>
    </w:p>
    <w:p w:rsidR="00000000" w:rsidRDefault="00F57DCB">
      <w:pPr>
        <w:pStyle w:val="a3"/>
      </w:pPr>
      <w:r>
        <w:t>б) в сфере планирования и бюджетирования:</w:t>
      </w:r>
    </w:p>
    <w:p w:rsidR="00000000" w:rsidRDefault="00F57DCB">
      <w:pPr>
        <w:pStyle w:val="a3"/>
      </w:pPr>
      <w:r>
        <w:t>- переход от традиционных схем, когда бюджет формируется на ос</w:t>
      </w:r>
      <w:r>
        <w:t>нове информации о состоянии учреждений (оборудование, численность персонала и т.д.), на модель управления, ориентированную на конечный результат, на основе комплексной системы мониторинга результативности и индикативного планирования расходов;</w:t>
      </w:r>
    </w:p>
    <w:p w:rsidR="00000000" w:rsidRDefault="00F57DCB">
      <w:pPr>
        <w:pStyle w:val="a3"/>
      </w:pPr>
      <w:r>
        <w:t>в) в сфере м</w:t>
      </w:r>
      <w:r>
        <w:t>ежведомственного и межсекторального взаимодействия:</w:t>
      </w:r>
    </w:p>
    <w:p w:rsidR="00000000" w:rsidRDefault="00F57DCB">
      <w:pPr>
        <w:pStyle w:val="a3"/>
      </w:pPr>
      <w:r>
        <w:t>- внедрение эффективной модели координационной работы, в том числе, разработка механизма внедрения модели "Единого Окна", четкого распределения сфер компетенции, устранения дублирования в работе, наделени</w:t>
      </w:r>
      <w:r>
        <w:t>я полномочий координационного характера с достаточным дисциплинирующим воздействием;</w:t>
      </w:r>
    </w:p>
    <w:p w:rsidR="00000000" w:rsidRDefault="00F57DCB">
      <w:pPr>
        <w:pStyle w:val="a3"/>
      </w:pPr>
      <w:r>
        <w:t>- разработка и реализация межведомственных целевых программ.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pStyle w:val="a3"/>
      </w:pPr>
      <w:r>
        <w:rPr>
          <w:rStyle w:val="a6"/>
        </w:rPr>
        <w:t>8.Основные результаты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2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Основными результатами реализации Концепции являются:</w:t>
      </w:r>
    </w:p>
    <w:p w:rsidR="00000000" w:rsidRDefault="00F57DCB">
      <w:pPr>
        <w:pStyle w:val="a3"/>
      </w:pPr>
      <w:r>
        <w:t>- сокращение уровня бедности и социального неравенства за счет повышения эффективности и качества социального обслуживания;</w:t>
      </w:r>
    </w:p>
    <w:p w:rsidR="00000000" w:rsidRDefault="00F57DCB">
      <w:pPr>
        <w:pStyle w:val="a3"/>
      </w:pPr>
      <w:r>
        <w:t>- развитие системы предоставления социальных услуг профилактического характера, прежде всего ориентированных на эффективную социальн</w:t>
      </w:r>
      <w:r>
        <w:t>ую поддержку семьи и детей;</w:t>
      </w:r>
    </w:p>
    <w:p w:rsidR="00000000" w:rsidRDefault="00F57DCB">
      <w:pPr>
        <w:pStyle w:val="a3"/>
      </w:pPr>
      <w:r>
        <w:t>- повышение обоснованности и адресности предоставления услуг и, вследствие этого, - сокращение потерь бюджетных средств;</w:t>
      </w:r>
    </w:p>
    <w:p w:rsidR="00000000" w:rsidRDefault="00F57DCB">
      <w:pPr>
        <w:pStyle w:val="a3"/>
      </w:pPr>
      <w:r>
        <w:t>- ещё более широкое социальное обслуживание нуждающихся категорий граждан, прежде всего сельского населения</w:t>
      </w:r>
      <w:r>
        <w:t xml:space="preserve"> и особенно женщин;</w:t>
      </w:r>
    </w:p>
    <w:p w:rsidR="00000000" w:rsidRDefault="00F57DCB">
      <w:pPr>
        <w:pStyle w:val="a3"/>
      </w:pPr>
      <w:r>
        <w:t>- развитие системы предоставления социальных услуг на уровне джамаатов;</w:t>
      </w:r>
    </w:p>
    <w:p w:rsidR="00000000" w:rsidRDefault="00F57DCB">
      <w:pPr>
        <w:pStyle w:val="a3"/>
      </w:pPr>
      <w:r>
        <w:t>- повышение уровня информированности общества о состоянии сферы предоставления социальных услуг;</w:t>
      </w:r>
    </w:p>
    <w:p w:rsidR="00000000" w:rsidRDefault="00F57DCB">
      <w:pPr>
        <w:pStyle w:val="a3"/>
      </w:pPr>
      <w:r>
        <w:t>- устранение дублирования в реализации функций государственного упр</w:t>
      </w:r>
      <w:r>
        <w:t>авления;</w:t>
      </w:r>
    </w:p>
    <w:p w:rsidR="00000000" w:rsidRDefault="00F57DCB">
      <w:pPr>
        <w:pStyle w:val="a3"/>
      </w:pPr>
      <w:r>
        <w:t>- повышение эффективности мониторинга и контроля в сфере социального обслуживания;</w:t>
      </w:r>
    </w:p>
    <w:p w:rsidR="00000000" w:rsidRDefault="00F57DCB">
      <w:pPr>
        <w:pStyle w:val="a3"/>
      </w:pPr>
      <w:r>
        <w:t>- создание единой информационной платформы и электронной базы данных, предоставляющей возможность доступа к информации, мониторинга и оценки качества предоставленны</w:t>
      </w:r>
      <w:r>
        <w:t>х услуг, анализа ситуации и планирования;</w:t>
      </w:r>
    </w:p>
    <w:p w:rsidR="00000000" w:rsidRDefault="00F57DCB">
      <w:pPr>
        <w:pStyle w:val="a3"/>
      </w:pPr>
      <w:r>
        <w:t>- создание благоприятных условий для государственно-частного и государственно-общественного партнерства, развитие негосударственного сектора социального обслуживания;</w:t>
      </w:r>
    </w:p>
    <w:p w:rsidR="00000000" w:rsidRDefault="00F57DCB">
      <w:pPr>
        <w:pStyle w:val="a3"/>
      </w:pPr>
      <w:r>
        <w:t xml:space="preserve">- стабильное функционирование социальных служб </w:t>
      </w:r>
      <w:r>
        <w:t>за счет внебюджетных источников финансирования, в том числе через развитие системы социального заказа;</w:t>
      </w:r>
    </w:p>
    <w:p w:rsidR="00000000" w:rsidRDefault="00F57DCB">
      <w:pPr>
        <w:pStyle w:val="a3"/>
      </w:pPr>
      <w:r>
        <w:t>- развитие нестационарных форм социального обслуживания;</w:t>
      </w:r>
    </w:p>
    <w:p w:rsidR="00000000" w:rsidRDefault="00F57DCB">
      <w:pPr>
        <w:pStyle w:val="a3"/>
      </w:pPr>
      <w:r>
        <w:t>- укрепление материально-технической базы системы социального обслуживания;</w:t>
      </w:r>
    </w:p>
    <w:p w:rsidR="00000000" w:rsidRDefault="00F57DCB">
      <w:pPr>
        <w:pStyle w:val="a3"/>
      </w:pPr>
      <w:r>
        <w:t>- завершение создани</w:t>
      </w:r>
      <w:r>
        <w:t>я многоуровневой системы подготовки и повышения квалификации социальных работников, подкрепленной достаточным уровнем социального статуса последних;</w:t>
      </w:r>
    </w:p>
    <w:p w:rsidR="00000000" w:rsidRDefault="00F57DCB">
      <w:pPr>
        <w:pStyle w:val="a3"/>
      </w:pPr>
      <w:r>
        <w:t>- переход на интегрированное управление, основанное на комплексном подходе и концентрации материально-техни</w:t>
      </w:r>
      <w:r>
        <w:t>ческих. кадровых и иных ресурсов, ориентированное, прежде всего, на повышение качества оказываемых гражданам социальных услуг и оптимизацию бюджетных расходов.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21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Этапы реализации Концепции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Концепция предполагает, как постоянную, рассчитанную на весь пери</w:t>
      </w:r>
      <w:r>
        <w:rPr>
          <w:rFonts w:eastAsia="Times New Roman"/>
        </w:rPr>
        <w:t>од, так и поэтапную реализацию мер и мероприятий в зависимости от специфики предусмотренных в ней приоритетов, задач и направлений развития системы социального обслуживания.</w:t>
      </w:r>
    </w:p>
    <w:p w:rsidR="00000000" w:rsidRDefault="00F57DC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постоянной основе совершенствуются законодательство и технологии предоставления</w:t>
      </w:r>
      <w:r>
        <w:rPr>
          <w:rFonts w:eastAsia="Times New Roman"/>
        </w:rPr>
        <w:t xml:space="preserve"> социальных услуг, развивается инфраструктура, укрепляется потенциал социальных служб, принимаются другие меры по внедрению и соблюдению принципов социального обслуживания и его развития.</w:t>
      </w:r>
    </w:p>
    <w:p w:rsidR="00000000" w:rsidRDefault="00F57DCB">
      <w:pPr>
        <w:numPr>
          <w:ilvl w:val="0"/>
          <w:numId w:val="2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три, каждый сроком на пять лет, этапа реализуются следующие меропр</w:t>
      </w:r>
      <w:r>
        <w:rPr>
          <w:rFonts w:eastAsia="Times New Roman"/>
        </w:rPr>
        <w:t>иятия:</w:t>
      </w:r>
    </w:p>
    <w:p w:rsidR="00000000" w:rsidRDefault="00F57DCB">
      <w:pPr>
        <w:pStyle w:val="a3"/>
      </w:pPr>
      <w:r>
        <w:t>а) первый этап:</w:t>
      </w:r>
    </w:p>
    <w:p w:rsidR="00000000" w:rsidRDefault="00F57DCB">
      <w:pPr>
        <w:pStyle w:val="a3"/>
      </w:pPr>
      <w:r>
        <w:t>- разрабатывается и принимается План мероприятий </w:t>
      </w:r>
      <w:r>
        <w:t>по реализации Концепции, утверждаются планы первоочередных и перспективных мероприятий, создаются соответствующие ведомственные, межведомственные, вневедомственные и иные органы, в том числе координационного характера, создаются правовые предпосылки, реали</w:t>
      </w:r>
      <w:r>
        <w:t>зуются экспериментальные проекты с целью поиска и внедрения оптимальных форм, и способов функционирования системы социального обслуживания. Данный этап, в частности, предполагает (в редакции постановления Правительства РТ от 02.07.2015г. № 448);</w:t>
      </w:r>
    </w:p>
    <w:p w:rsidR="00000000" w:rsidRDefault="00F57DCB">
      <w:pPr>
        <w:pStyle w:val="a3"/>
      </w:pPr>
      <w:r>
        <w:t>- разработ</w:t>
      </w:r>
      <w:r>
        <w:t>ку и начало внедрения спецификации услуг и минимальных государственных стандартов;</w:t>
      </w:r>
    </w:p>
    <w:p w:rsidR="00000000" w:rsidRDefault="00F57DCB">
      <w:pPr>
        <w:pStyle w:val="a3"/>
      </w:pPr>
      <w:r>
        <w:t>- формирование смета создание организауионных , правовых и финансовых предпосылок для перехода на модель "Единого окна";</w:t>
      </w:r>
    </w:p>
    <w:p w:rsidR="00000000" w:rsidRDefault="00F57DCB">
      <w:pPr>
        <w:pStyle w:val="a3"/>
      </w:pPr>
      <w:r>
        <w:t>- создание и функционирование эффективной системы ко</w:t>
      </w:r>
      <w:r>
        <w:t>ординации и взаимодействия заинтересованных органов и организаций, государственных и общественных структур, а также мониторинга, в первую очередь общественного, мероприятий, вытекающих из содержания Концепции и предусмотренных План мероприятий по ее реализ</w:t>
      </w:r>
      <w:r>
        <w:t>ации (в редакции постановления Правительства РТ от 02.07.2015г. № 448);</w:t>
      </w:r>
    </w:p>
    <w:p w:rsidR="00000000" w:rsidRDefault="00F57DCB">
      <w:pPr>
        <w:pStyle w:val="a3"/>
      </w:pPr>
      <w:r>
        <w:t>- создание системы аккредитации социальных служб;</w:t>
      </w:r>
    </w:p>
    <w:p w:rsidR="00000000" w:rsidRDefault="00F57DCB">
      <w:pPr>
        <w:pStyle w:val="a3"/>
      </w:pPr>
      <w:r>
        <w:t>- формирование организационно-правовой и методологической базы перехода на финансовую децентрализацию, предполагающую в качестве обяза</w:t>
      </w:r>
      <w:r>
        <w:t>тельного условия создание основ эффективной финансовой автономии на местном уровне, и на финансирование сферы социального обслуживания, рассчитанное на результат;</w:t>
      </w:r>
    </w:p>
    <w:p w:rsidR="00000000" w:rsidRDefault="00F57DCB">
      <w:pPr>
        <w:pStyle w:val="a3"/>
      </w:pPr>
      <w:r>
        <w:t>б) второй этап:</w:t>
      </w:r>
    </w:p>
    <w:p w:rsidR="00000000" w:rsidRDefault="00F57DCB">
      <w:pPr>
        <w:pStyle w:val="a3"/>
      </w:pPr>
      <w:r>
        <w:t>- переход социальных служб на предоставление услуг в соответствии с разработа</w:t>
      </w:r>
      <w:r>
        <w:t>нными спецификациями и стандартами;</w:t>
      </w:r>
    </w:p>
    <w:p w:rsidR="00000000" w:rsidRDefault="00F57DCB">
      <w:pPr>
        <w:pStyle w:val="a3"/>
      </w:pPr>
      <w:r>
        <w:t>- внедрение финансового механизма организации социального обслуживания населения, а также планирования и формирования государственного социального заказа на предоставление услуг нуждающимся гражданам на основании специфи</w:t>
      </w:r>
      <w:r>
        <w:t>каций и стандартов услуг;</w:t>
      </w:r>
    </w:p>
    <w:p w:rsidR="00000000" w:rsidRDefault="00F57DCB">
      <w:pPr>
        <w:pStyle w:val="a3"/>
      </w:pPr>
      <w:r>
        <w:t>- завершение создания единой системы управления социальной защитой детей на базе отделов по правам ребенка и отделов социальных услуг на дому рассчитанную, в том числе, на повышение эффективности и качества социальных услуг;</w:t>
      </w:r>
    </w:p>
    <w:p w:rsidR="00000000" w:rsidRDefault="00F57DCB">
      <w:pPr>
        <w:pStyle w:val="a3"/>
      </w:pPr>
      <w:r>
        <w:t>- пер</w:t>
      </w:r>
      <w:r>
        <w:t>еход от заявительной системы оказания социальных услуг гражданам, попавшим в трудную жизненную ситуацию, к выявительной;</w:t>
      </w:r>
    </w:p>
    <w:p w:rsidR="00000000" w:rsidRDefault="00F57DCB">
      <w:pPr>
        <w:pStyle w:val="a3"/>
      </w:pPr>
      <w:r>
        <w:t>- завершение создания автоматизированной информационной системы социального обслуживания;</w:t>
      </w:r>
    </w:p>
    <w:p w:rsidR="00000000" w:rsidRDefault="00F57DCB">
      <w:pPr>
        <w:pStyle w:val="a3"/>
      </w:pPr>
      <w:r>
        <w:t>- расширение сети многоцелевых центров, предо</w:t>
      </w:r>
      <w:r>
        <w:t>ставляющих адресные социальные услуги комплексного характера на основе модели "Единого окна";</w:t>
      </w:r>
    </w:p>
    <w:p w:rsidR="00000000" w:rsidRDefault="00F57DCB">
      <w:pPr>
        <w:pStyle w:val="a3"/>
      </w:pPr>
      <w:r>
        <w:t>в) заключительный этап:</w:t>
      </w:r>
    </w:p>
    <w:p w:rsidR="00000000" w:rsidRDefault="00F57DCB">
      <w:pPr>
        <w:pStyle w:val="a3"/>
      </w:pPr>
      <w:r>
        <w:t>- завершится реализация всех мероприятий, в том числе внедрение административных, финансовых и иных системообразующих технологий, создание</w:t>
      </w:r>
      <w:r>
        <w:t xml:space="preserve"> предпосылок которых предполагалось на предыдущих этапах.</w:t>
      </w:r>
    </w:p>
    <w:p w:rsidR="00000000" w:rsidRDefault="00F57DCB">
      <w:pPr>
        <w:numPr>
          <w:ilvl w:val="0"/>
          <w:numId w:val="2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зависимости от особенностей развития системы социального обслуживания не исключается возможность изменения перечня мероприятий на отдельных этапах реализации Концепции, в том числе изменение этапо</w:t>
      </w:r>
      <w:r>
        <w:rPr>
          <w:rFonts w:eastAsia="Times New Roman"/>
        </w:rPr>
        <w:t>в достижения тех или иных показателей.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24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Механизм реализации Концепции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2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Реализация Концепции осуществляется централизованно на следующих уровнях управления:</w:t>
      </w:r>
    </w:p>
    <w:p w:rsidR="00000000" w:rsidRDefault="00F57DCB">
      <w:pPr>
        <w:pStyle w:val="a3"/>
      </w:pPr>
      <w:r>
        <w:t>а) стратегическое управление. Осуществляется Правительством Республики Таджикистан, которое:</w:t>
      </w:r>
    </w:p>
    <w:p w:rsidR="00000000" w:rsidRDefault="00F57DCB">
      <w:pPr>
        <w:pStyle w:val="a3"/>
      </w:pPr>
      <w:r>
        <w:t>- утв</w:t>
      </w:r>
      <w:r>
        <w:t>ерждает План мероприятий по реализации Концепции (в редакции постановления Правительства РТ от 02.07.2015г. № 448);</w:t>
      </w:r>
    </w:p>
    <w:p w:rsidR="00000000" w:rsidRDefault="00F57DCB">
      <w:pPr>
        <w:pStyle w:val="a3"/>
      </w:pPr>
      <w:r>
        <w:t>- при необходимости вносит изменения в Государственную программу по реализации Концепции;</w:t>
      </w:r>
    </w:p>
    <w:p w:rsidR="00000000" w:rsidRDefault="00F57DCB">
      <w:pPr>
        <w:pStyle w:val="a3"/>
      </w:pPr>
      <w:r>
        <w:t>- определяет уполномоченный государственный орган,</w:t>
      </w:r>
      <w:r>
        <w:t xml:space="preserve"> осуществляющий координацию деятельности всех органов и организаций системы социального обслуживания по реализации Концепции;</w:t>
      </w:r>
    </w:p>
    <w:p w:rsidR="00000000" w:rsidRDefault="00F57DCB">
      <w:pPr>
        <w:pStyle w:val="a3"/>
      </w:pPr>
      <w:r>
        <w:t>- заслушивает отчеты министерств и ведомств, местных органов государственной власти и управления, ответственных за реализацию Конц</w:t>
      </w:r>
      <w:r>
        <w:t>епции;</w:t>
      </w:r>
    </w:p>
    <w:p w:rsidR="00000000" w:rsidRDefault="00F57DCB">
      <w:pPr>
        <w:pStyle w:val="a3"/>
      </w:pPr>
      <w:r>
        <w:t>- принимает другие меры, необходимые для реализации Концепции;</w:t>
      </w:r>
    </w:p>
    <w:p w:rsidR="00000000" w:rsidRDefault="00F57DCB">
      <w:pPr>
        <w:pStyle w:val="a3"/>
      </w:pPr>
      <w:r>
        <w:t>б) управление координацией и взаимодействием осуществляется уполномоченным государственным органом в сфере социального обслуживания, который:</w:t>
      </w:r>
    </w:p>
    <w:p w:rsidR="00000000" w:rsidRDefault="00F57DCB">
      <w:pPr>
        <w:pStyle w:val="a3"/>
      </w:pPr>
      <w:r>
        <w:t>- обеспечивает текущее управление реализацией Концепции, а также контроль за исполнением соответствующей Государственной программы;</w:t>
      </w:r>
    </w:p>
    <w:p w:rsidR="00000000" w:rsidRDefault="00F57DCB">
      <w:pPr>
        <w:pStyle w:val="a3"/>
      </w:pPr>
      <w:r>
        <w:t>- обеспечивает координацию деятельности министерств и ведомств, других органов и организаций системы социального обслуживани</w:t>
      </w:r>
      <w:r>
        <w:t>я в соответствии с Регламентом, утвержденным в этих целях Правительством Республики Таджикистан;</w:t>
      </w:r>
    </w:p>
    <w:p w:rsidR="00000000" w:rsidRDefault="00F57DCB">
      <w:pPr>
        <w:pStyle w:val="a3"/>
      </w:pPr>
      <w:r>
        <w:t>- формирует единую информационную систему (национальный электронный реестр) и осуществляет ее администрирование;</w:t>
      </w:r>
    </w:p>
    <w:p w:rsidR="00000000" w:rsidRDefault="00F57DCB">
      <w:pPr>
        <w:pStyle w:val="a3"/>
      </w:pPr>
      <w:r>
        <w:t>- периодически отчитывается перед Правительств</w:t>
      </w:r>
      <w:r>
        <w:t>ом Республики Таджикистан о проделанной работе по реализации Концепции и касающейся её Государственной программы;</w:t>
      </w:r>
    </w:p>
    <w:p w:rsidR="00000000" w:rsidRDefault="00F57DCB">
      <w:pPr>
        <w:pStyle w:val="a3"/>
      </w:pPr>
      <w:r>
        <w:t>- выполняет в пределах своих полномочий иные задачи и функции, обеспечивающие реализацию Концепции, в том числе мероприятий принятой с этой це</w:t>
      </w:r>
      <w:r>
        <w:t>лью Государственной программы;</w:t>
      </w:r>
    </w:p>
    <w:p w:rsidR="00000000" w:rsidRDefault="00F57DCB">
      <w:pPr>
        <w:pStyle w:val="a3"/>
      </w:pPr>
      <w:r>
        <w:t>в) первичный уровень управления осуществляется министерствами и ведомствами, а также местными органами государственной власти, которые в пределах своих полномочий обеспечивают разработку и реализацию мероприятий, необходимост</w:t>
      </w:r>
      <w:r>
        <w:t>ь которых продиктована Концепцией и которые предусмотрены Государственной программой.</w:t>
      </w:r>
    </w:p>
    <w:p w:rsidR="00000000" w:rsidRDefault="00F57DCB">
      <w:pPr>
        <w:numPr>
          <w:ilvl w:val="0"/>
          <w:numId w:val="2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Решение вытекающих из Концепции задач предусматривает разработку и принятие также других программ и планов мероприятий, а также вовлечение административных ресурсов соотв</w:t>
      </w:r>
      <w:r>
        <w:rPr>
          <w:rFonts w:eastAsia="Times New Roman"/>
        </w:rPr>
        <w:t>етствующих республиканских и местных органов государственной власти, и управления.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27"/>
        </w:numPr>
        <w:spacing w:before="100" w:beforeAutospacing="1" w:after="100" w:afterAutospacing="1"/>
        <w:rPr>
          <w:rFonts w:eastAsia="Times New Roman"/>
        </w:rPr>
      </w:pPr>
      <w:r>
        <w:rPr>
          <w:rStyle w:val="a6"/>
          <w:rFonts w:eastAsia="Times New Roman"/>
        </w:rPr>
        <w:t>Заключительные положения</w:t>
      </w:r>
    </w:p>
    <w:p w:rsidR="00000000" w:rsidRDefault="00F57DCB">
      <w:pPr>
        <w:pStyle w:val="a3"/>
      </w:pPr>
      <w:r>
        <w:t> </w:t>
      </w:r>
    </w:p>
    <w:p w:rsidR="00000000" w:rsidRDefault="00F57DCB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Финансирование реализации Концепции осуществляется за счет средств государственного бюджета, ежегодно предусматриваемых на социальные нужды, а т</w:t>
      </w:r>
      <w:r>
        <w:rPr>
          <w:rFonts w:eastAsia="Times New Roman"/>
        </w:rPr>
        <w:t>акже за счет внебюджетных источников и средств внешней помощи.</w:t>
      </w:r>
    </w:p>
    <w:p w:rsidR="00000000" w:rsidRDefault="00F57DCB">
      <w:pPr>
        <w:numPr>
          <w:ilvl w:val="0"/>
          <w:numId w:val="2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Ответственность за реализацию Концепции возлагается на уполномоченный государственный орган в сфере социального обслуживания, местные исполнительные органы государственной власти а также на дру</w:t>
      </w:r>
      <w:r>
        <w:rPr>
          <w:rFonts w:eastAsia="Times New Roman"/>
        </w:rPr>
        <w:t>гие органы и государственные и неправительственные организации системы социального обслуживания.</w:t>
      </w:r>
    </w:p>
    <w:p w:rsidR="00F57DCB" w:rsidRDefault="00F57DCB">
      <w:pPr>
        <w:pStyle w:val="a3"/>
      </w:pPr>
      <w:r>
        <w:t> </w:t>
      </w:r>
    </w:p>
    <w:sectPr w:rsidR="00F5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C3"/>
    <w:multiLevelType w:val="multilevel"/>
    <w:tmpl w:val="19E4C118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CF5B35"/>
    <w:multiLevelType w:val="multilevel"/>
    <w:tmpl w:val="7F88F8A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16412"/>
    <w:multiLevelType w:val="multilevel"/>
    <w:tmpl w:val="87902B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05791"/>
    <w:multiLevelType w:val="multilevel"/>
    <w:tmpl w:val="24E4B0E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F2E67"/>
    <w:multiLevelType w:val="multilevel"/>
    <w:tmpl w:val="E20C8EB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7A3D90"/>
    <w:multiLevelType w:val="multilevel"/>
    <w:tmpl w:val="13D08AF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A17D3"/>
    <w:multiLevelType w:val="multilevel"/>
    <w:tmpl w:val="4E78D0C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036BF2"/>
    <w:multiLevelType w:val="multilevel"/>
    <w:tmpl w:val="EB54AF26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6E618C"/>
    <w:multiLevelType w:val="multilevel"/>
    <w:tmpl w:val="EFA8A0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F2743"/>
    <w:multiLevelType w:val="multilevel"/>
    <w:tmpl w:val="B9D48C6E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E45EAA"/>
    <w:multiLevelType w:val="multilevel"/>
    <w:tmpl w:val="EF3C8D5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4C24AA"/>
    <w:multiLevelType w:val="multilevel"/>
    <w:tmpl w:val="983E0B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E5EDE"/>
    <w:multiLevelType w:val="multilevel"/>
    <w:tmpl w:val="5A18A57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5806CB"/>
    <w:multiLevelType w:val="multilevel"/>
    <w:tmpl w:val="86EA635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6A0A7B"/>
    <w:multiLevelType w:val="multilevel"/>
    <w:tmpl w:val="733052F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56F9D"/>
    <w:multiLevelType w:val="multilevel"/>
    <w:tmpl w:val="55E836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A05732"/>
    <w:multiLevelType w:val="multilevel"/>
    <w:tmpl w:val="A6C8D86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B4EDB"/>
    <w:multiLevelType w:val="multilevel"/>
    <w:tmpl w:val="FA680A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95011B"/>
    <w:multiLevelType w:val="multilevel"/>
    <w:tmpl w:val="227EC2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B46D08"/>
    <w:multiLevelType w:val="multilevel"/>
    <w:tmpl w:val="19A8BFC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A5F93"/>
    <w:multiLevelType w:val="multilevel"/>
    <w:tmpl w:val="B2645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9C1BAB"/>
    <w:multiLevelType w:val="multilevel"/>
    <w:tmpl w:val="2688B5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8B1397"/>
    <w:multiLevelType w:val="multilevel"/>
    <w:tmpl w:val="706E9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683BFA"/>
    <w:multiLevelType w:val="multilevel"/>
    <w:tmpl w:val="66763CE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B10A0B"/>
    <w:multiLevelType w:val="multilevel"/>
    <w:tmpl w:val="145C7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A87BB1"/>
    <w:multiLevelType w:val="multilevel"/>
    <w:tmpl w:val="F9F01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69450F"/>
    <w:multiLevelType w:val="multilevel"/>
    <w:tmpl w:val="3AE2795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C47D60"/>
    <w:multiLevelType w:val="multilevel"/>
    <w:tmpl w:val="557CFBD0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7"/>
  </w:num>
  <w:num w:numId="5">
    <w:abstractNumId w:val="25"/>
  </w:num>
  <w:num w:numId="6">
    <w:abstractNumId w:val="14"/>
  </w:num>
  <w:num w:numId="7">
    <w:abstractNumId w:val="15"/>
  </w:num>
  <w:num w:numId="8">
    <w:abstractNumId w:val="4"/>
  </w:num>
  <w:num w:numId="9">
    <w:abstractNumId w:val="24"/>
  </w:num>
  <w:num w:numId="10">
    <w:abstractNumId w:val="12"/>
  </w:num>
  <w:num w:numId="11">
    <w:abstractNumId w:val="18"/>
  </w:num>
  <w:num w:numId="12">
    <w:abstractNumId w:val="13"/>
  </w:num>
  <w:num w:numId="13">
    <w:abstractNumId w:val="2"/>
  </w:num>
  <w:num w:numId="14">
    <w:abstractNumId w:val="19"/>
  </w:num>
  <w:num w:numId="15">
    <w:abstractNumId w:val="9"/>
  </w:num>
  <w:num w:numId="16">
    <w:abstractNumId w:val="23"/>
  </w:num>
  <w:num w:numId="17">
    <w:abstractNumId w:val="10"/>
  </w:num>
  <w:num w:numId="18">
    <w:abstractNumId w:val="27"/>
  </w:num>
  <w:num w:numId="19">
    <w:abstractNumId w:val="3"/>
  </w:num>
  <w:num w:numId="20">
    <w:abstractNumId w:val="16"/>
  </w:num>
  <w:num w:numId="21">
    <w:abstractNumId w:val="6"/>
  </w:num>
  <w:num w:numId="22">
    <w:abstractNumId w:val="26"/>
  </w:num>
  <w:num w:numId="23">
    <w:abstractNumId w:val="5"/>
  </w:num>
  <w:num w:numId="24">
    <w:abstractNumId w:val="11"/>
  </w:num>
  <w:num w:numId="25">
    <w:abstractNumId w:val="0"/>
  </w:num>
  <w:num w:numId="26">
    <w:abstractNumId w:val="7"/>
  </w:num>
  <w:num w:numId="27">
    <w:abstractNumId w:val="2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E416E3"/>
    <w:rsid w:val="00E416E3"/>
    <w:rsid w:val="00F5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95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5080</Words>
  <Characters>28956</Characters>
  <Application>Microsoft Office Word</Application>
  <DocSecurity>0</DocSecurity>
  <Lines>241</Lines>
  <Paragraphs>67</Paragraphs>
  <ScaleCrop>false</ScaleCrop>
  <Company/>
  <LinksUpToDate>false</LinksUpToDate>
  <CharactersWithSpaces>33969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2018-10-30T05:33:00Z</dcterms:created>
  <dcterms:modified xsi:type="dcterms:W3CDTF">2018-10-30T05:33:00Z</dcterms:modified>
</cp:coreProperties>
</file>