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  <w:jc w:val="right"/>
      </w:pPr>
      <w:r>
        <w:t>Утверждена</w:t>
      </w:r>
    </w:p>
    <w:p w:rsidR="00000000" w:rsidRDefault="001C0994">
      <w:pPr>
        <w:pStyle w:val="a3"/>
        <w:jc w:val="right"/>
      </w:pPr>
      <w:r>
        <w:t>постановлением Правительства</w:t>
      </w:r>
    </w:p>
    <w:p w:rsidR="00000000" w:rsidRDefault="001C0994">
      <w:pPr>
        <w:pStyle w:val="a3"/>
        <w:jc w:val="right"/>
      </w:pPr>
      <w:r>
        <w:t>Республики Таджикистан</w:t>
      </w:r>
    </w:p>
    <w:p w:rsidR="00000000" w:rsidRDefault="001C0994">
      <w:pPr>
        <w:pStyle w:val="a3"/>
        <w:jc w:val="right"/>
      </w:pPr>
      <w:hyperlink r:id="rId5" w:tgtFrame="_blank" w:history="1">
        <w:r>
          <w:rPr>
            <w:rStyle w:val="a4"/>
          </w:rPr>
          <w:t>от 15 марта 1999 г. № 82</w:t>
        </w:r>
      </w:hyperlink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  <w:jc w:val="center"/>
      </w:pPr>
      <w:r>
        <w:rPr>
          <w:rStyle w:val="a6"/>
        </w:rPr>
        <w:t>КОНЦЕПЦИЯ ЕДИНОГО ГОСУДАРСТВЕННОГО НАДЗОРА В ХОЗЯЙСТВЕННОМ КОМПЛЕКСЕ РЕСПУБЛИКИ ТАДЖИКИСТАН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</w:pPr>
      <w:r>
        <w:t>На территории Республики Таджикистан в настоящее время действует целый ряд надзорных органов, контролирующих различные стороны деятельности предприятий (организац</w:t>
      </w:r>
      <w:r>
        <w:t>ий) хозяйственного комплекса республики. Кроме Министерства охраны природы, Налогового комитета, Госгортехнадзора, Госцентра стандартизации и метрологии, другие виды надзора имеют одну общую особенность: все они являются ведомственными. Ко всем ним следует</w:t>
      </w:r>
      <w:r>
        <w:t xml:space="preserve"> добавить технические инспекции в составе отраслевых комитетов профсоюзов.</w:t>
      </w:r>
    </w:p>
    <w:p w:rsidR="00000000" w:rsidRDefault="001C0994">
      <w:pPr>
        <w:pStyle w:val="a3"/>
      </w:pPr>
      <w:r>
        <w:t>Наличие такого количества контролирующих органов и, главное их разобщённость приводит к частым проверкам предприятий (организаций), мешающим их нормальной работе. Более того, эта ра</w:t>
      </w:r>
      <w:r>
        <w:t xml:space="preserve">зобщённость способствует появлению необъективных оценок происшедших аварий, несчастных случаев, других нарушений, что является прямым следствием отстаивания ведомственными надзорными органами интересов своих ведомств. Подобная необъективность не позволяет </w:t>
      </w:r>
      <w:r>
        <w:t>выявить истинную причину нарушений, аварий, несчастных случаев, что, естественно, влечёт за собой их повторение. В конечном итоге ущерб наносится государству и его гражданам потому, что нарушения приводят к потере материальных ценностей (их перерасходу, хи</w:t>
      </w:r>
      <w:r>
        <w:t>щению), а аварии и несчастные случаи -к материальным потерям добавляют моральные, поскольку калечат или уносят человеческие жизни.</w:t>
      </w:r>
    </w:p>
    <w:p w:rsidR="00000000" w:rsidRDefault="001C0994">
      <w:pPr>
        <w:pStyle w:val="a3"/>
      </w:pPr>
      <w:r>
        <w:t>В связи с изложенным, и имея в виду то, что первоосновой успешной деятельности всякого надзорного органа является его независ</w:t>
      </w:r>
      <w:r>
        <w:t>имость, на совещании у Премьер-министра Республики Таджикистан Я.Н.Азимова (протокол № 37/2/24) от 29 июля 1997 г.) было принято решение о разработке единой концепции государственного надзора в хозяйственном комплексе Республики Таджикистан.</w:t>
      </w:r>
    </w:p>
    <w:p w:rsidR="00000000" w:rsidRDefault="001C0994">
      <w:pPr>
        <w:pStyle w:val="a3"/>
      </w:pPr>
      <w:r>
        <w:t xml:space="preserve">Эта концепция </w:t>
      </w:r>
      <w:r>
        <w:t xml:space="preserve">предполагает создание единого органа государственного управления, ведающего вопросами обеспечения безопасных условий производства, технологий, оборудования (механизмов), а также контроля за региональным использованием и охраной недр в государстве, который </w:t>
      </w:r>
      <w:r>
        <w:t>осуществляет свою деятельность по разработанной единой программе. Образование такого органа государственного управления должно решаться в соответствии с пунктом 9 статьи 49 и пунктом 2 статьи 69 Конституции Республики Таджикистан и статьи 8 конституционног</w:t>
      </w:r>
      <w:r>
        <w:t>о Закона Таджикистан "О Правительстве Республики Таджикистан".</w:t>
      </w:r>
    </w:p>
    <w:p w:rsidR="00000000" w:rsidRDefault="001C0994">
      <w:pPr>
        <w:pStyle w:val="a3"/>
      </w:pPr>
      <w:r>
        <w:t>Указанный орган государственного управления обязан обеспечить разработку и принятие на государственном уровне правовых и нормативных документов по вопросам, регулирующим безопасные условия труд</w:t>
      </w:r>
      <w:r>
        <w:t>а в хозяйственном комплексе Республики Таджикистан, выдачу разрешений (лицензий) на производство потенциально опасных работ, охрану недр, предупреждение и устранение вредного влияния всех видов работ на население, окружающую природную среду, здания, сооруж</w:t>
      </w:r>
      <w:r>
        <w:t>ения, обеспечения правильного расходования первичных топливно-энергетических ресурсов, а также контроль за соблюдением законодательных и нормативных документов по этим вопросам в процессе выполнения любых видов работ и использования природных и производимы</w:t>
      </w:r>
      <w:r>
        <w:t>х ресурсов в Республике Таджикистан.</w:t>
      </w:r>
    </w:p>
    <w:p w:rsidR="00000000" w:rsidRDefault="001C0994">
      <w:pPr>
        <w:pStyle w:val="a3"/>
      </w:pPr>
      <w:r>
        <w:t xml:space="preserve">Вся деятельность этого государственного органа должна быть направлена на обеспечение государственных интересов и соблюдение законодательства - предупреждение аварий и производственного травматизма, а также утвержденных </w:t>
      </w:r>
      <w:r>
        <w:t>в установленном порядке стандартов (норм, правил) по безопасному ведению работ, связанных с пользованием недрами в интересах нынешнего и будущего поколений народов Республики Таджикистан, сохранность взрывчатых материалов и правильное их использование, а т</w:t>
      </w:r>
      <w:r>
        <w:t>акже на проведение профилактических мероприятий по этим вопросам.</w:t>
      </w:r>
    </w:p>
    <w:p w:rsidR="00000000" w:rsidRDefault="001C0994">
      <w:pPr>
        <w:pStyle w:val="a3"/>
      </w:pPr>
      <w:r>
        <w:t>Этот орган осуществляет свою деятельность во взаимодействии с природоохранными и другими государственными органами и органами исполнительной власти на местах, а также по согласованию с Федер</w:t>
      </w:r>
      <w:r>
        <w:t>ацией независимых профсоюзов Республики Таджикистан и её отраслевыми комитетами.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  <w:jc w:val="center"/>
      </w:pPr>
      <w:r>
        <w:rPr>
          <w:rStyle w:val="a6"/>
        </w:rPr>
        <w:t>НОРМАТИВНАЯ БАЗА ДЕЯТЕЛЬНОСТИ ОРГАНОВ ГОСУДАРСТВЕННОГО НАДЗОРА В ХОЗЯЙСТВЕННОМ КОМПЛЕКСЕ РЕСПУБЛИКИ ТАДЖИКИСТАН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</w:pPr>
      <w:r>
        <w:t xml:space="preserve">Основной правовой и нормативной базой деятельности органов </w:t>
      </w:r>
      <w:r>
        <w:t>государственного надзора в хозяйственном комплексе Республики Таджикистан являются:</w:t>
      </w:r>
    </w:p>
    <w:p w:rsidR="00000000" w:rsidRDefault="001C0994">
      <w:pPr>
        <w:pStyle w:val="a3"/>
      </w:pPr>
      <w:r>
        <w:t>- Конституция Республики Таджикистан, Трудовой кодекс Республики Таджикистан, Закон Республики Таджикистан об охране труда в Республики Таджикистан, Закон Республики Таджик</w:t>
      </w:r>
      <w:r>
        <w:t>истан о недрах, Кодекс Республики Таджикистан об административных правонарушениях и другие законы Республики Таджикистан, решения Маджлиси Оли, Указы, распоряжения Президента Республики Таджикистан, постановления и распоряжения Правительства Республики Тад</w:t>
      </w:r>
      <w:r>
        <w:t>жикистан.</w:t>
      </w:r>
    </w:p>
    <w:p w:rsidR="00000000" w:rsidRDefault="001C0994">
      <w:pPr>
        <w:pStyle w:val="a3"/>
      </w:pPr>
      <w:r>
        <w:t>- Нормативные акты органов государственного надзора в хозяйственном комплексе Республики Таджикистан.</w:t>
      </w:r>
    </w:p>
    <w:p w:rsidR="00000000" w:rsidRDefault="001C0994">
      <w:pPr>
        <w:pStyle w:val="a3"/>
      </w:pPr>
      <w:r>
        <w:t>- Ведомственные нормативные документы по безопасному ведению работ, охране недр, нормативному расходованию природных и производимых ресурсов.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  <w:jc w:val="center"/>
      </w:pPr>
      <w:r>
        <w:rPr>
          <w:rStyle w:val="a6"/>
        </w:rPr>
        <w:t>ЗАДАЧИ ОРГАНОВ ГОСУДАРСТВЕННОГО НАДЗОРА В ХОЗЯЙСТВЕННОМ КОМПЛЕКСЕ РЕСПУБЛИКИ ТАДЖИКИСТАН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</w:pPr>
      <w:r>
        <w:t>Задачами органов Государственного надзора в хозяйственном комплексе Республики Таджикистан являются:</w:t>
      </w:r>
    </w:p>
    <w:p w:rsidR="00000000" w:rsidRDefault="001C0994">
      <w:pPr>
        <w:pStyle w:val="a3"/>
      </w:pPr>
      <w:r>
        <w:t>- обеспечение государственного надзора за соблюдением предприяти</w:t>
      </w:r>
      <w:r>
        <w:t>ями и организациями (независимо от их правового статуса), должностными лицами и гражданами требований норм, правил, инструкций и т.п. по безопасному ведению работ в хозяйственном комплексе Республики Таджикистан;</w:t>
      </w:r>
    </w:p>
    <w:p w:rsidR="00000000" w:rsidRDefault="001C0994">
      <w:pPr>
        <w:pStyle w:val="a3"/>
      </w:pPr>
      <w:r>
        <w:t>- выявление и предупреждение нарушений обяз</w:t>
      </w:r>
      <w:r>
        <w:t>ательных требований нормативных документов в процессе изучения, извлечения и переработки (на всех стадиях технологического процесса, вплоть до получения готовой продукции) природных ресурсов;</w:t>
      </w:r>
    </w:p>
    <w:p w:rsidR="00000000" w:rsidRDefault="001C0994">
      <w:pPr>
        <w:pStyle w:val="a3"/>
      </w:pPr>
      <w:r>
        <w:t xml:space="preserve">- выявление и предупреждение нарушений в процессе использования </w:t>
      </w:r>
      <w:r>
        <w:t>первичных энергоресурсов в Республике Таджикистан;</w:t>
      </w:r>
    </w:p>
    <w:p w:rsidR="00000000" w:rsidRDefault="001C0994">
      <w:pPr>
        <w:pStyle w:val="a3"/>
      </w:pPr>
      <w:r>
        <w:t>- принятие мер по устранению выявленных нарушений обязательных требований нормативных актов в хозяйственном комплексе Республики Таджикистан, а также при использовании природных и производимых ресурсов.</w:t>
      </w:r>
    </w:p>
    <w:p w:rsidR="00000000" w:rsidRDefault="001C0994">
      <w:pPr>
        <w:pStyle w:val="a3"/>
      </w:pPr>
      <w:r>
        <w:t>Для выполнения перечисленных задач органы государственного надзора в хозяйственном комплексе Республики Таджикистан наделяются соответствующими функциями и правами, которые определяются Положением, утверждаемым Республики Таджикистан.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  <w:jc w:val="center"/>
      </w:pPr>
      <w:r>
        <w:rPr>
          <w:rStyle w:val="a6"/>
        </w:rPr>
        <w:t>СТРУКТУРА ОРГАНОВ Г</w:t>
      </w:r>
      <w:r>
        <w:rPr>
          <w:rStyle w:val="a6"/>
        </w:rPr>
        <w:t>ОСУДАРСТВЕННОГО НАДЗОРА В ХОЗЯЙСТВЕННОМ КОМПЛЕКСЕ РEСПУБЛИКИ TАДЖИКИСТАН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</w:pPr>
      <w:r>
        <w:t>За основу структуры создаваемого органа госнадзора предлагается взять структуру Госгортехнадзора Республики Таджикистан, соответственно со сферой деятельности, расширив его персонал</w:t>
      </w:r>
      <w:r>
        <w:t>ьный состав, что, позволит сэкономить значительные средства.</w:t>
      </w:r>
    </w:p>
    <w:p w:rsidR="00000000" w:rsidRDefault="001C0994">
      <w:pPr>
        <w:pStyle w:val="a3"/>
      </w:pPr>
      <w:r>
        <w:t>Успешное решение стоящих перед единым органом государственного надзора в хозяйственном комплексе Республики Таджикистан задач возможно при условии:</w:t>
      </w:r>
    </w:p>
    <w:p w:rsidR="00000000" w:rsidRDefault="001C0994">
      <w:pPr>
        <w:pStyle w:val="a3"/>
      </w:pPr>
      <w:r>
        <w:t>- создания более гибкой, чем у нынешних органов</w:t>
      </w:r>
      <w:r>
        <w:t xml:space="preserve"> надзора, структуры, позволяющей быстро реагировать на возникающие нестандартные ситуации;</w:t>
      </w:r>
    </w:p>
    <w:p w:rsidR="00000000" w:rsidRDefault="001C0994">
      <w:pPr>
        <w:pStyle w:val="a3"/>
      </w:pPr>
      <w:r>
        <w:t>- придания региональным подразделениям (в ГБАО, Ленинабадской и Хатлонской областях) большей самостоятельности;</w:t>
      </w:r>
    </w:p>
    <w:p w:rsidR="00000000" w:rsidRDefault="001C0994">
      <w:pPr>
        <w:pStyle w:val="a3"/>
      </w:pPr>
      <w:r>
        <w:t>- оптимизации численности инспекторского линейного пе</w:t>
      </w:r>
      <w:r>
        <w:t>рсонала.</w:t>
      </w:r>
    </w:p>
    <w:p w:rsidR="00000000" w:rsidRDefault="001C0994">
      <w:pPr>
        <w:pStyle w:val="a3"/>
      </w:pPr>
      <w:r>
        <w:t>Реализация этих условий предполагает:</w:t>
      </w:r>
    </w:p>
    <w:p w:rsidR="00000000" w:rsidRDefault="001C0994">
      <w:pPr>
        <w:pStyle w:val="a3"/>
      </w:pPr>
      <w:r>
        <w:t>- увеличение числа центральных инспекций;</w:t>
      </w:r>
    </w:p>
    <w:p w:rsidR="00000000" w:rsidRDefault="001C0994">
      <w:pPr>
        <w:pStyle w:val="a3"/>
      </w:pPr>
      <w:r>
        <w:t>- существенный рост объёма работы центрального аппарата создаваемого госоргана по проведению анализа и обобщения результатов работы инспекций, подготовке справок, инфо</w:t>
      </w:r>
      <w:r>
        <w:t xml:space="preserve">рмации в различные инстанции, анализа причин производственного травматизма и аварийности, а также осуществления технологической и методической координации работы инспекций, разработки и пересмотра нормативных документов по вопросам, входящим в компетенцию </w:t>
      </w:r>
      <w:r>
        <w:t>этого госоргана. Выполнение этих функций потребует создания в структуре госоргана специального подразделения, руководимого главным специалистом и подчинёнными ему ведущими специалистами,- которое должно явиться связующим звеном между руководством и инспект</w:t>
      </w:r>
      <w:r>
        <w:t>орским составом.</w:t>
      </w:r>
    </w:p>
    <w:p w:rsidR="00000000" w:rsidRDefault="001C0994">
      <w:pPr>
        <w:pStyle w:val="a3"/>
      </w:pPr>
      <w:r>
        <w:t>- объединения части инспекций в управления, которые будут курироваться руководителем госоргана и его заместителями без введения дополнительных штатных единиц.</w:t>
      </w:r>
    </w:p>
    <w:p w:rsidR="00000000" w:rsidRDefault="001C0994">
      <w:pPr>
        <w:pStyle w:val="a3"/>
      </w:pPr>
      <w:r>
        <w:t>Для более эффективной работы инспекций и придания им большей мобильности, они бу</w:t>
      </w:r>
      <w:r>
        <w:t>дут сформированы по видам надзора, а также с учётом расположения объектов по регионам.</w:t>
      </w:r>
    </w:p>
    <w:p w:rsidR="00000000" w:rsidRDefault="001C0994">
      <w:pPr>
        <w:pStyle w:val="a3"/>
      </w:pPr>
      <w:r>
        <w:t>По этому принципу предполагается образовать 14 центральных инспекций: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горно-техническая инспекция (ГТИ) по надзору в угольной, горнорудной и нерудной промышл</w:t>
      </w:r>
      <w:r>
        <w:rPr>
          <w:rFonts w:eastAsia="Times New Roman"/>
        </w:rPr>
        <w:t>енности.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ГТИ по надзору в нефтегазодобывающих организациях и в управлениях буровых работ.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по контролю за использованием и охраной недр.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по надзору в химической и металлургической промышленности.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</w:t>
      </w:r>
      <w:r>
        <w:rPr>
          <w:rFonts w:eastAsia="Times New Roman"/>
        </w:rPr>
        <w:t>альная инспекция по котлонадзору и подъёмным сооружениям.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газового надзора.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по геологическому контролю.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по надзору за перевозкой опасных грузов.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по надзору за использов</w:t>
      </w:r>
      <w:r>
        <w:rPr>
          <w:rFonts w:eastAsia="Times New Roman"/>
        </w:rPr>
        <w:t>анием первичных энергоресурсов.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государственного пробирного надзора.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по надзору за опасными производствами в текстильной, лёгкой и мукомольной промышленности.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по надзору в агропромышленном комплексе, лесной и деревообрабатывающей промышленности.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по надзору в отраслях негосударственного сектора.</w:t>
      </w:r>
    </w:p>
    <w:p w:rsidR="00000000" w:rsidRDefault="001C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Центральная инспекция по экспертизе проектной и конструкторской документаци</w:t>
      </w:r>
      <w:r>
        <w:rPr>
          <w:rFonts w:eastAsia="Times New Roman"/>
        </w:rPr>
        <w:t>и.</w:t>
      </w:r>
    </w:p>
    <w:p w:rsidR="00000000" w:rsidRDefault="001C0994">
      <w:pPr>
        <w:pStyle w:val="a3"/>
      </w:pPr>
      <w:r>
        <w:t>Областные инспекции будут сформированы комплексно, то есть они объединяют инспекторов разного профиля. В целях координации их работы и придания им большей самостоятельности, они имеют начальников. Однако, комплексные плановые проверки своих поднадзорных</w:t>
      </w:r>
      <w:r>
        <w:t xml:space="preserve"> объектов они будут проводить совместно с представителями центральных инспекций по профилю и центрального аппарата госоргана.</w:t>
      </w:r>
    </w:p>
    <w:p w:rsidR="00000000" w:rsidRDefault="001C0994">
      <w:pPr>
        <w:pStyle w:val="a3"/>
      </w:pPr>
      <w:r>
        <w:t>По концентрации промышленных и горнорудных объектов Ленинабадская область занимает ведущее место в республике, поэтому там сформир</w:t>
      </w:r>
      <w:r>
        <w:t>ована наиболее крупная комплексная инспекция в г. Кайраккуме с двумя региональными горно-техническими инспекциями (РГТИ) в Исфаре и Зеравшанской долине (Пенджикентский и Айнинский районы). Необходимость последних продиктована развитой. сетью предприятий уг</w:t>
      </w:r>
      <w:r>
        <w:t>ольной промышленности в Исфаринском районе и горнорудной промышленности в Заравшанской долине.</w:t>
      </w:r>
    </w:p>
    <w:p w:rsidR="00000000" w:rsidRDefault="001C0994">
      <w:pPr>
        <w:pStyle w:val="a3"/>
      </w:pPr>
      <w:r>
        <w:t>Инспекторы Хатлонской комплексной инспекции будут базироваться в городах Курган-Тюбе и Куляб , а по Горно - Бадахшанской автономной области - в г. Хороге.</w:t>
      </w:r>
    </w:p>
    <w:p w:rsidR="00000000" w:rsidRDefault="001C0994">
      <w:pPr>
        <w:pStyle w:val="a3"/>
      </w:pPr>
      <w:r>
        <w:t>Наконе</w:t>
      </w:r>
      <w:r>
        <w:t>ц, для нормальной жизнедеятельности госоргана предусмотрен минимальный хозяйственный и вспомогательный персонал. Создание хозрасчётной лаборатории технической диагностики оправдано отсутствием таковой в республике, а при повседневном изнашивании горно-шахт</w:t>
      </w:r>
      <w:r>
        <w:t>ного и карьерного оборудования, грузоподъёмных сооружений, котлов, сосудов, трубопроводов и другого оборудования определение возможности дальнейшей их эксплуатации без подобных работ может привести к непредсказуемым последствиям. Поскольку работа лаборатор</w:t>
      </w:r>
      <w:r>
        <w:t>ии будет платной, она оправдает не только своё существование, но и может принести прибыль.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  <w:jc w:val="center"/>
      </w:pPr>
      <w:r>
        <w:rPr>
          <w:rStyle w:val="a6"/>
        </w:rPr>
        <w:t>ОСНОВА УСПЕШНОЙ ДЕЯТЕЛЬНОСТИ ОРГАНОВ ГОСУДАРСТВЕННОГО НАДЗОРА В ХОЗЯЙСТВЕННОМ КОМПЛЕКСЕ РЕСПУБЛИКИ ТАДЖИКИСТАН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</w:pPr>
      <w:r>
        <w:t>Основой успешной деятельности единого органа госна</w:t>
      </w:r>
      <w:r>
        <w:t>дзора в хозяйственном комплексе Республики Таджикистан должны быть следующие факторы:</w:t>
      </w:r>
    </w:p>
    <w:p w:rsidR="00000000" w:rsidRDefault="001C099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Ведомственная и материальная независимость.</w:t>
      </w:r>
    </w:p>
    <w:p w:rsidR="00000000" w:rsidRDefault="001C0994">
      <w:pPr>
        <w:pStyle w:val="a3"/>
      </w:pPr>
      <w:r>
        <w:t>Объединение почти всех видов государственного надзора в хозяйственном комплексе Республики Таджикистан под эгидой единого госу</w:t>
      </w:r>
      <w:r>
        <w:t>дарственного органа предусматривает независимость от подконтрольных министерств, ведомств, предприятий, организаций, что должно повышать объективность надзорных органов и их эффективную работу.</w:t>
      </w:r>
    </w:p>
    <w:p w:rsidR="00000000" w:rsidRDefault="001C0994">
      <w:pPr>
        <w:pStyle w:val="a3"/>
      </w:pPr>
      <w:r>
        <w:t>Немаловажным фактором, зачастую определяющим объективный подхо</w:t>
      </w:r>
      <w:r>
        <w:t>д государственных инспекторов к выполнению своих обязанностей, является их материальная независимость. Проблему повышения заработной платы работников органов государственного надзора в хозяйственном комплексе Республики Таджикистан следует решить одновреме</w:t>
      </w:r>
      <w:r>
        <w:t>нно с принятием концепции.</w:t>
      </w:r>
    </w:p>
    <w:p w:rsidR="00000000" w:rsidRDefault="001C099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Приравнивание статуса формируемого органа с государственным комитетом.</w:t>
      </w:r>
    </w:p>
    <w:p w:rsidR="00000000" w:rsidRDefault="001C0994">
      <w:pPr>
        <w:pStyle w:val="a3"/>
      </w:pPr>
      <w:r>
        <w:t xml:space="preserve">Эта мера принесёт большой эффект. Во-первых, возрастёт значимость принимаемых Комитетом нормативных актов, - что повлечёт за собой скорейшее их претворение в </w:t>
      </w:r>
      <w:r>
        <w:t>жизнь. Во-вторых, это поможет частично улучшить материальное благополучие государственных инспекторов по надзору. Отметим также, что во всех республиках бывшего СССР и зарубежных государствах подобные органы имеют государственный статус.</w:t>
      </w:r>
    </w:p>
    <w:p w:rsidR="00000000" w:rsidRDefault="001C099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Улучшение техничес</w:t>
      </w:r>
      <w:r>
        <w:rPr>
          <w:rFonts w:eastAsia="Times New Roman"/>
        </w:rPr>
        <w:t>кой оснащенности инспекции, обеспечение их форменной одежды и спецтранспортом.</w:t>
      </w:r>
    </w:p>
    <w:p w:rsidR="00000000" w:rsidRDefault="001C099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Создание при указанном органе госнадзора краткосрочных (от 2 до 6 месяцев) курсов по подготовке квалифицированных государственных инспекторов по надзору в соответствующих отрасл</w:t>
      </w:r>
      <w:r>
        <w:rPr>
          <w:rFonts w:eastAsia="Times New Roman"/>
        </w:rPr>
        <w:t>ях хозяйственного комплекса Республики Таджикистан.</w:t>
      </w:r>
    </w:p>
    <w:p w:rsidR="00000000" w:rsidRDefault="001C0994">
      <w:pPr>
        <w:pStyle w:val="a3"/>
      </w:pPr>
      <w:r>
        <w:t> </w:t>
      </w:r>
    </w:p>
    <w:p w:rsidR="00000000" w:rsidRDefault="001C0994">
      <w:pPr>
        <w:pStyle w:val="a3"/>
        <w:jc w:val="center"/>
      </w:pPr>
      <w:r>
        <w:rPr>
          <w:rStyle w:val="a6"/>
        </w:rPr>
        <w:t>ПРЕДПОЛАГАЕМЫЕ ИСТОЧНИКИ ФИНАНСИРОВАНИЯ ДЕЯТЕЛЬНОСТИ ОРГАНОВ ГОСУДАРСТВЕННОГО НАДЗОРА</w:t>
      </w:r>
    </w:p>
    <w:p w:rsidR="00000000" w:rsidRDefault="001C0994">
      <w:pPr>
        <w:pStyle w:val="a3"/>
        <w:jc w:val="center"/>
      </w:pPr>
      <w:r>
        <w:rPr>
          <w:rStyle w:val="a6"/>
        </w:rPr>
        <w:t>В ХОЗЯЙСТВЕННОМ КОМПЛЕКСЕ РЕСПУБЛИКИ ТАДЖИКИСТАН</w:t>
      </w:r>
    </w:p>
    <w:p w:rsidR="00000000" w:rsidRDefault="001C0994">
      <w:pPr>
        <w:pStyle w:val="a3"/>
      </w:pPr>
      <w:r>
        <w:t> </w:t>
      </w:r>
    </w:p>
    <w:p w:rsidR="001C0994" w:rsidRDefault="001C0994">
      <w:pPr>
        <w:pStyle w:val="a3"/>
      </w:pPr>
      <w:r>
        <w:t>Финансирование деятельности органов государственного надзора в хо</w:t>
      </w:r>
      <w:r>
        <w:t>зяйственном комплексе Республики Таджикистан предполагается осуществлять из бюджетных средств, а также путём привлечения части средств предприятий по статье расходов "Охрана труда и техника безопасности", отчисляемых ими на счёт Комитета, и из источников ф</w:t>
      </w:r>
      <w:r>
        <w:t>инансирования тех действующих органов, функции которых предполагается передать создаваемому органу управления.</w:t>
      </w:r>
    </w:p>
    <w:sectPr w:rsidR="001C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D93"/>
    <w:multiLevelType w:val="multilevel"/>
    <w:tmpl w:val="3EFE1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E5FF6"/>
    <w:multiLevelType w:val="multilevel"/>
    <w:tmpl w:val="A5B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0535"/>
    <w:multiLevelType w:val="multilevel"/>
    <w:tmpl w:val="D9CE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5640C"/>
    <w:multiLevelType w:val="multilevel"/>
    <w:tmpl w:val="B4C0C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B697F"/>
    <w:rsid w:val="001C0994"/>
    <w:rsid w:val="009B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83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2018-10-30T05:35:00Z</dcterms:created>
  <dcterms:modified xsi:type="dcterms:W3CDTF">2018-10-30T05:35:00Z</dcterms:modified>
</cp:coreProperties>
</file>